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7BE97" w14:textId="77777777" w:rsidR="003E34F2" w:rsidRDefault="003041CD">
      <w:pPr>
        <w:jc w:val="center"/>
        <w:rPr>
          <w:lang w:val="de-DE"/>
        </w:rPr>
      </w:pPr>
      <w:r>
        <w:rPr>
          <w:b/>
          <w:color w:val="141414"/>
          <w:sz w:val="40"/>
          <w:lang w:val="de-DE"/>
        </w:rPr>
        <w:t>Vereinbarung über</w:t>
      </w:r>
      <w:r>
        <w:rPr>
          <w:b/>
          <w:color w:val="141414"/>
          <w:sz w:val="40"/>
          <w:lang w:val="de-DE"/>
        </w:rPr>
        <w:br/>
        <w:t>Auftragsverarbeitung</w:t>
      </w:r>
    </w:p>
    <w:p w14:paraId="22678F28" w14:textId="77777777" w:rsidR="003E34F2" w:rsidRDefault="003041CD">
      <w:pPr>
        <w:jc w:val="center"/>
        <w:rPr>
          <w:lang w:val="de-DE"/>
        </w:rPr>
      </w:pPr>
      <w:r>
        <w:rPr>
          <w:color w:val="5A5A5A"/>
          <w:sz w:val="24"/>
          <w:lang w:val="de-DE"/>
        </w:rPr>
        <w:t>gemäß Artikel 28 Datenschutz-Grundverordnung</w:t>
      </w:r>
    </w:p>
    <w:p w14:paraId="79EBC55F" w14:textId="77777777" w:rsidR="003E34F2" w:rsidRDefault="003041CD">
      <w:pPr>
        <w:jc w:val="center"/>
        <w:rPr>
          <w:lang w:val="de-DE"/>
        </w:rPr>
      </w:pPr>
      <w:r>
        <w:rPr>
          <w:color w:val="969696"/>
          <w:sz w:val="28"/>
          <w:lang w:val="de-DE"/>
        </w:rPr>
        <w:t>—</w:t>
      </w:r>
    </w:p>
    <w:p w14:paraId="64FFD787" w14:textId="77777777" w:rsidR="003E34F2" w:rsidRDefault="003041CD">
      <w:pPr>
        <w:jc w:val="center"/>
        <w:rPr>
          <w:lang w:val="de-DE"/>
        </w:rPr>
      </w:pPr>
      <w:r>
        <w:rPr>
          <w:b/>
          <w:lang w:val="de-DE"/>
        </w:rPr>
        <w:t>zwischen</w:t>
      </w:r>
    </w:p>
    <w:tbl>
      <w:tblPr>
        <w:tblW w:w="0" w:type="auto"/>
        <w:jc w:val="center"/>
        <w:tblLook w:val="04A0" w:firstRow="1" w:lastRow="0" w:firstColumn="1" w:lastColumn="0" w:noHBand="0" w:noVBand="1"/>
      </w:tblPr>
      <w:tblGrid>
        <w:gridCol w:w="4981"/>
        <w:gridCol w:w="4981"/>
      </w:tblGrid>
      <w:tr w:rsidR="003E34F2" w:rsidRPr="005A03E1" w14:paraId="54A495FE" w14:textId="77777777">
        <w:trPr>
          <w:jc w:val="center"/>
        </w:trPr>
        <w:tc>
          <w:tcPr>
            <w:tcW w:w="4986" w:type="dxa"/>
            <w:tcBorders>
              <w:top w:val="single" w:sz="4" w:space="0" w:color="D9D9D9"/>
              <w:left w:val="single" w:sz="4" w:space="0" w:color="D9D9D9"/>
              <w:bottom w:val="single" w:sz="4" w:space="0" w:color="D9D9D9"/>
              <w:right w:val="single" w:sz="4" w:space="0" w:color="D9D9D9"/>
            </w:tcBorders>
            <w:shd w:val="clear" w:color="auto" w:fill="F5F6F7"/>
            <w:tcMar>
              <w:top w:w="140" w:type="dxa"/>
              <w:left w:w="140" w:type="dxa"/>
              <w:bottom w:w="140" w:type="dxa"/>
              <w:right w:w="140" w:type="dxa"/>
            </w:tcMar>
          </w:tcPr>
          <w:p w14:paraId="45FC465C" w14:textId="77777777" w:rsidR="003E34F2" w:rsidRDefault="003041CD">
            <w:pPr>
              <w:rPr>
                <w:lang w:val="de-DE"/>
              </w:rPr>
            </w:pPr>
            <w:r>
              <w:rPr>
                <w:b/>
                <w:lang w:val="de-DE"/>
              </w:rPr>
              <w:t>Auftraggeberin</w:t>
            </w:r>
          </w:p>
          <w:p w14:paraId="7A241BF9" w14:textId="77777777" w:rsidR="003E34F2" w:rsidRDefault="003041CD">
            <w:pPr>
              <w:pStyle w:val="ContractSmall"/>
              <w:rPr>
                <w:lang w:val="de-DE"/>
              </w:rPr>
            </w:pPr>
            <w:r>
              <w:rPr>
                <w:lang w:val="de-DE"/>
              </w:rPr>
              <w:t xml:space="preserve">Johann </w:t>
            </w:r>
            <w:proofErr w:type="gramStart"/>
            <w:r>
              <w:rPr>
                <w:lang w:val="de-DE"/>
              </w:rPr>
              <w:t>Wolfgang Goethe-Universität</w:t>
            </w:r>
            <w:proofErr w:type="gramEnd"/>
            <w:r>
              <w:rPr>
                <w:lang w:val="de-DE"/>
              </w:rPr>
              <w:t xml:space="preserve"> Frankfurt am Main</w:t>
            </w:r>
          </w:p>
          <w:p w14:paraId="56521684" w14:textId="77777777" w:rsidR="003E34F2" w:rsidRDefault="003041CD">
            <w:pPr>
              <w:pStyle w:val="ContractSmall"/>
              <w:rPr>
                <w:lang w:val="de-DE"/>
              </w:rPr>
            </w:pPr>
            <w:r>
              <w:rPr>
                <w:lang w:val="de-DE"/>
              </w:rPr>
              <w:t>vertreten durch den Präsidenten</w:t>
            </w:r>
          </w:p>
          <w:p w14:paraId="2636B7EC" w14:textId="77777777" w:rsidR="003E34F2" w:rsidRDefault="003041CD">
            <w:pPr>
              <w:pStyle w:val="ContractSmall"/>
              <w:rPr>
                <w:lang w:val="de-DE"/>
              </w:rPr>
            </w:pPr>
            <w:r>
              <w:rPr>
                <w:lang w:val="de-DE"/>
              </w:rPr>
              <w:t>Theodor-W.-Adorno-Platz 1</w:t>
            </w:r>
          </w:p>
          <w:p w14:paraId="1C3A96C7" w14:textId="77777777" w:rsidR="003E34F2" w:rsidRDefault="003041CD">
            <w:pPr>
              <w:pStyle w:val="ContractSmall"/>
              <w:rPr>
                <w:lang w:val="de-DE"/>
              </w:rPr>
            </w:pPr>
            <w:r>
              <w:rPr>
                <w:lang w:val="de-DE"/>
              </w:rPr>
              <w:t>60323 Frankfurt am Main</w:t>
            </w:r>
          </w:p>
          <w:p w14:paraId="0EB7130F" w14:textId="77777777" w:rsidR="003E34F2" w:rsidRDefault="003041CD">
            <w:pPr>
              <w:pStyle w:val="ContractSmall"/>
              <w:rPr>
                <w:lang w:val="de-DE"/>
              </w:rPr>
            </w:pPr>
            <w:r>
              <w:rPr>
                <w:lang w:val="de-DE"/>
              </w:rPr>
              <w:t>nachfolgend „Auftraggeberin“</w:t>
            </w:r>
          </w:p>
        </w:tc>
        <w:tc>
          <w:tcPr>
            <w:tcW w:w="4986" w:type="dxa"/>
            <w:tcBorders>
              <w:top w:val="single" w:sz="4" w:space="0" w:color="D9D9D9"/>
              <w:left w:val="single" w:sz="4" w:space="0" w:color="D9D9D9"/>
              <w:bottom w:val="single" w:sz="4" w:space="0" w:color="D9D9D9"/>
              <w:right w:val="single" w:sz="4" w:space="0" w:color="D9D9D9"/>
            </w:tcBorders>
            <w:shd w:val="clear" w:color="auto" w:fill="F5F6F7"/>
            <w:tcMar>
              <w:top w:w="140" w:type="dxa"/>
              <w:left w:w="140" w:type="dxa"/>
              <w:bottom w:w="140" w:type="dxa"/>
              <w:right w:w="140" w:type="dxa"/>
            </w:tcMar>
          </w:tcPr>
          <w:p w14:paraId="2062D3DC" w14:textId="77777777" w:rsidR="003E34F2" w:rsidRDefault="003041CD">
            <w:pPr>
              <w:rPr>
                <w:lang w:val="de-DE"/>
              </w:rPr>
            </w:pPr>
            <w:r>
              <w:rPr>
                <w:b/>
                <w:lang w:val="de-DE"/>
              </w:rPr>
              <w:t>Auftragnehmer</w:t>
            </w:r>
          </w:p>
          <w:p w14:paraId="0A665540" w14:textId="0F5A67FB" w:rsidR="003E34F2" w:rsidRDefault="003041CD">
            <w:pPr>
              <w:pStyle w:val="ContractSmall"/>
              <w:rPr>
                <w:lang w:val="de-DE"/>
              </w:rPr>
            </w:pPr>
            <w:sdt>
              <w:sdtPr>
                <w:rPr>
                  <w:lang w:val="de-DE"/>
                </w:rPr>
                <w:id w:val="1340892151"/>
                <w:placeholder>
                  <w:docPart w:val="4DB554C587844ED0A191356AA0A912DD"/>
                </w:placeholder>
                <w:showingPlcHdr/>
              </w:sdtPr>
              <w:sdtEndPr/>
              <w:sdtContent>
                <w:r w:rsidR="005A03E1" w:rsidRPr="005A03E1">
                  <w:rPr>
                    <w:lang w:val="de-DE"/>
                  </w:rPr>
                  <w:t>Firma / Einrichtung</w:t>
                </w:r>
              </w:sdtContent>
            </w:sdt>
          </w:p>
          <w:p w14:paraId="12E11FD1" w14:textId="52AE1C04" w:rsidR="003E34F2" w:rsidRDefault="003041CD">
            <w:pPr>
              <w:pStyle w:val="ContractSmall"/>
              <w:rPr>
                <w:lang w:val="de-DE"/>
              </w:rPr>
            </w:pPr>
            <w:r>
              <w:rPr>
                <w:lang w:val="de-DE"/>
              </w:rPr>
              <w:t>vertreten durch</w:t>
            </w:r>
            <w:r w:rsidR="005A03E1">
              <w:rPr>
                <w:lang w:val="de-DE"/>
              </w:rPr>
              <w:t xml:space="preserve"> </w:t>
            </w:r>
            <w:sdt>
              <w:sdtPr>
                <w:rPr>
                  <w:lang w:val="de-DE"/>
                </w:rPr>
                <w:id w:val="-302931772"/>
                <w:placeholder>
                  <w:docPart w:val="74EDD31FEF8A4157BA1299F4EA2FA311"/>
                </w:placeholder>
                <w:showingPlcHdr/>
              </w:sdtPr>
              <w:sdtEndPr/>
              <w:sdtContent>
                <w:r w:rsidR="005A03E1" w:rsidRPr="005A03E1">
                  <w:rPr>
                    <w:lang w:val="de-DE"/>
                  </w:rPr>
                  <w:t>vertretungsberechtigte Person</w:t>
                </w:r>
              </w:sdtContent>
            </w:sdt>
          </w:p>
          <w:sdt>
            <w:sdtPr>
              <w:rPr>
                <w:lang w:val="de-DE"/>
              </w:rPr>
              <w:id w:val="563838308"/>
              <w:placeholder>
                <w:docPart w:val="B1E0669078804DED9365E30CC75C93C3"/>
              </w:placeholder>
              <w:showingPlcHdr/>
            </w:sdtPr>
            <w:sdtEndPr/>
            <w:sdtContent>
              <w:p w14:paraId="618E44CE" w14:textId="13482791" w:rsidR="003E34F2" w:rsidRDefault="005A03E1">
                <w:pPr>
                  <w:pStyle w:val="ContractSmall"/>
                  <w:rPr>
                    <w:lang w:val="de-DE"/>
                  </w:rPr>
                </w:pPr>
                <w:r w:rsidRPr="005A03E1">
                  <w:rPr>
                    <w:lang w:val="de-DE"/>
                  </w:rPr>
                  <w:t>Adresse</w:t>
                </w:r>
              </w:p>
            </w:sdtContent>
          </w:sdt>
          <w:p w14:paraId="29F26F4D" w14:textId="77777777" w:rsidR="003E34F2" w:rsidRDefault="003041CD">
            <w:pPr>
              <w:pStyle w:val="ContractSmall"/>
              <w:rPr>
                <w:lang w:val="de-DE"/>
              </w:rPr>
            </w:pPr>
            <w:r>
              <w:rPr>
                <w:lang w:val="de-DE"/>
              </w:rPr>
              <w:t>nachfolgend „Auftragnehmer“</w:t>
            </w:r>
          </w:p>
        </w:tc>
      </w:tr>
    </w:tbl>
    <w:p w14:paraId="491B13E1" w14:textId="77777777" w:rsidR="003E34F2" w:rsidRDefault="003E34F2">
      <w:pPr>
        <w:rPr>
          <w:lang w:val="de-DE"/>
        </w:rPr>
      </w:pPr>
    </w:p>
    <w:p w14:paraId="2ED67A14" w14:textId="77777777" w:rsidR="003E34F2" w:rsidRDefault="003041CD">
      <w:pPr>
        <w:pStyle w:val="berschrift1"/>
        <w:rPr>
          <w:lang w:val="de-DE"/>
        </w:rPr>
      </w:pPr>
      <w:r>
        <w:rPr>
          <w:lang w:val="de-DE"/>
        </w:rPr>
        <w:t>Präambel</w:t>
      </w:r>
    </w:p>
    <w:p w14:paraId="751614D9" w14:textId="77777777" w:rsidR="003E34F2" w:rsidRDefault="003041CD">
      <w:pPr>
        <w:rPr>
          <w:lang w:val="de-DE"/>
        </w:rPr>
      </w:pPr>
      <w:r>
        <w:rPr>
          <w:lang w:val="de-DE"/>
        </w:rPr>
        <w:t>Der Auftragnehmer verarbeitet im Rahmen der zugrunde liegenden Leistung personenbezogene Daten im Auftrag der Auftraggeberin. Die Parteien schließen diese Vereinbarung, um die Anforderungen der Datenschutz-Grundverordnung (DSGVO), insbesondere des Artikels 28 DSGVO, für die Auftragsverarbeitung verbindlich und praktisch handhabbar umzusetzen. Die fachliche Leistung ergibt sich aus dem zugrunde liegenden Vertragsverhältnis. Diese Vereinbarung regelt, unter welchen datenschutzrechtlichen Bedingungen der Auftr</w:t>
      </w:r>
      <w:r>
        <w:rPr>
          <w:lang w:val="de-DE"/>
        </w:rPr>
        <w:t>agnehmer personenbezogene Daten im Auftrag der Auftraggeberin verarbeiten darf.</w:t>
      </w:r>
    </w:p>
    <w:p w14:paraId="6B2AC2E3" w14:textId="77777777" w:rsidR="003E34F2" w:rsidRDefault="003041CD">
      <w:pPr>
        <w:rPr>
          <w:lang w:val="de-DE"/>
        </w:rPr>
      </w:pPr>
      <w:r>
        <w:rPr>
          <w:lang w:val="de-DE"/>
        </w:rPr>
        <w:t>Die Auftraggeberin bleibt für die Rechtmäßigkeit der Verarbeitung, für die Festlegung der Zwecke und für die Wahrung der Rechte betroffener Personen verantwortlich. Der Auftragnehmer verarbeitet personenbezogene Daten nur nach dokumentierter Weisung der Auftraggeberin und nur für den in dieser Vereinbarung bestimmten Zweck der Auftragsverarbeitung.</w:t>
      </w:r>
    </w:p>
    <w:p w14:paraId="62837A9F" w14:textId="77777777" w:rsidR="003E34F2" w:rsidRDefault="003041CD">
      <w:pPr>
        <w:pStyle w:val="berschrift1"/>
        <w:rPr>
          <w:lang w:val="de-DE"/>
        </w:rPr>
      </w:pPr>
      <w:r>
        <w:rPr>
          <w:lang w:val="de-DE"/>
        </w:rPr>
        <w:t>1. Vertragsbezug, Einordnung und Vorrang</w:t>
      </w:r>
    </w:p>
    <w:p w14:paraId="6903FED9" w14:textId="77777777" w:rsidR="003E34F2" w:rsidRDefault="003041CD">
      <w:pPr>
        <w:rPr>
          <w:lang w:val="de-DE"/>
        </w:rPr>
      </w:pPr>
      <w:r>
        <w:rPr>
          <w:lang w:val="de-DE"/>
        </w:rPr>
        <w:t>(1) Diese Vereinbarung ergänzt den Hauptvertrag zwischen den Parteien und ist Bestandteil der datenschutzrechtlichen Vertragsbeziehung. Hauptvertrag im Sinne dieser Vereinbarung ist der Vertrag, die Bestellung, die Leistungsbeschreibung oder eine sonstige Vereinbarung, auf deren Grundlage der Auftragnehmer Leistungen für die Auftraggeberin erbringt.</w:t>
      </w:r>
    </w:p>
    <w:p w14:paraId="5954C9E9" w14:textId="77777777" w:rsidR="003E34F2" w:rsidRDefault="003041CD">
      <w:pPr>
        <w:rPr>
          <w:lang w:val="de-DE"/>
        </w:rPr>
      </w:pPr>
      <w:r>
        <w:rPr>
          <w:lang w:val="de-DE"/>
        </w:rPr>
        <w:t>(2) Diese Vereinbarung gilt für alle Tätigkeiten, bei denen der Auftragnehmer, seine Beschäftigten oder sonst von ihm eingesetzte Personen personenbezogene Daten verarbeiten, die der Auftraggeberin zuzurechnen sind oder für sie erhoben werden.</w:t>
      </w:r>
    </w:p>
    <w:p w14:paraId="24D2CBE2" w14:textId="77777777" w:rsidR="003E34F2" w:rsidRDefault="003041CD">
      <w:pPr>
        <w:rPr>
          <w:lang w:val="de-DE"/>
        </w:rPr>
      </w:pPr>
      <w:r>
        <w:rPr>
          <w:lang w:val="de-DE"/>
        </w:rPr>
        <w:t>(3) Bei den von dieser Vereinbarung erfassten Verarbeitungsvorgängen handelt der Auftragnehmer als Auftragsverarbeiter im Sinne von Artikel 4 Nummer 8 DSGVO. Die Zwecke der Verarbeitung und die wesentlichen Vorgaben für deren Durchführung bestimmt allein die Auftraggeberin. Bestimmt der Auftragnehmer entgegen dieser Vereinbarung eigene Zwecke oder wesentliche Mittel der Verarbeitung, handelt er insoweit außerhalb dieses Auftrags und trägt hierfür eigene datenschutzrechtliche Verantwortung.</w:t>
      </w:r>
    </w:p>
    <w:p w14:paraId="45E46795" w14:textId="77777777" w:rsidR="003E34F2" w:rsidRDefault="003041CD">
      <w:pPr>
        <w:rPr>
          <w:lang w:val="de-DE"/>
        </w:rPr>
      </w:pPr>
      <w:r>
        <w:rPr>
          <w:lang w:val="de-DE"/>
        </w:rPr>
        <w:t xml:space="preserve">(4) Bei Widersprüchen gehen die Regelungen dieser Vereinbarung vor, soweit sie Datenschutz, Weisungen, technische und organisatorische Maßnahmen, Unterauftragnehmer, Übermittlungen an </w:t>
      </w:r>
      <w:r>
        <w:rPr>
          <w:lang w:val="de-DE"/>
        </w:rPr>
        <w:lastRenderedPageBreak/>
        <w:t>Drittländer oder Zugriffe aus Drittländern, Vertraulichkeit, Kontrollen, Sicherheitsvorfälle sowie Rückgabe oder Löschung betreffen. Im Übrigen bleibt der Hauptvertrag für Leistung, Vergütung, Termine und kaufmännische Regelungen maßgeblich, soweit diese Vereinbarung keine abweichende Regelung enthält.</w:t>
      </w:r>
    </w:p>
    <w:p w14:paraId="666687BB" w14:textId="77777777" w:rsidR="003E34F2" w:rsidRDefault="003041CD">
      <w:pPr>
        <w:pStyle w:val="berschrift1"/>
        <w:rPr>
          <w:lang w:val="de-DE"/>
        </w:rPr>
      </w:pPr>
      <w:r>
        <w:rPr>
          <w:lang w:val="de-DE"/>
        </w:rPr>
        <w:t>2. Gegenstand, Dauer, Art und Zweck der Verarbeitung; Daten, betroffene Personen, Verarbeitungsorte und Schutzbedarf</w:t>
      </w:r>
    </w:p>
    <w:p w14:paraId="06721184" w14:textId="77777777" w:rsidR="003E34F2" w:rsidRDefault="003041CD">
      <w:pPr>
        <w:rPr>
          <w:lang w:val="de-DE"/>
        </w:rPr>
      </w:pPr>
      <w:r>
        <w:rPr>
          <w:lang w:val="de-DE"/>
        </w:rPr>
        <w:t>(1) Diese Ziffer beschreibt die von dieser Vereinbarung erfasste Auftragsverarbeitung eigenständig und ausschließlich aus datenschutzrechtlicher Sicht. Maßgeblich ist nicht der kaufmännische, organisatorische, wissenschaftliche oder sonstige interne Anlass der Beauftragung, sondern die datenbezogene Leistung, für deren Erbringung der Auftragnehmer personenbezogene Daten im Auftrag der Auftraggeberin verarbeitet.</w:t>
      </w:r>
    </w:p>
    <w:p w14:paraId="61169CBD" w14:textId="77777777" w:rsidR="003E34F2" w:rsidRDefault="003E34F2">
      <w:pPr>
        <w:rPr>
          <w:lang w:val="de-DE"/>
        </w:rPr>
      </w:pPr>
    </w:p>
    <w:tbl>
      <w:tblPr>
        <w:tblW w:w="0" w:type="auto"/>
        <w:jc w:val="center"/>
        <w:tblLook w:val="04A0" w:firstRow="1" w:lastRow="0" w:firstColumn="1" w:lastColumn="0" w:noHBand="0" w:noVBand="1"/>
      </w:tblPr>
      <w:tblGrid>
        <w:gridCol w:w="2835"/>
        <w:gridCol w:w="6350"/>
      </w:tblGrid>
      <w:tr w:rsidR="003E34F2" w14:paraId="675D961D" w14:textId="77777777">
        <w:trPr>
          <w:jc w:val="center"/>
        </w:trPr>
        <w:tc>
          <w:tcPr>
            <w:tcW w:w="2835" w:type="dxa"/>
            <w:tcBorders>
              <w:top w:val="single" w:sz="4" w:space="0" w:color="BFBFBF"/>
              <w:left w:val="single" w:sz="4" w:space="0" w:color="BFBFBF"/>
              <w:bottom w:val="single" w:sz="4" w:space="0" w:color="BFBFBF"/>
              <w:right w:val="single" w:sz="4" w:space="0" w:color="BFBFBF"/>
            </w:tcBorders>
            <w:shd w:val="clear" w:color="auto" w:fill="EDEDED"/>
          </w:tcPr>
          <w:p w14:paraId="3B87E9CF" w14:textId="77777777" w:rsidR="003E34F2" w:rsidRDefault="003041CD">
            <w:pPr>
              <w:rPr>
                <w:lang w:val="de-DE"/>
              </w:rPr>
            </w:pPr>
            <w:r>
              <w:rPr>
                <w:b/>
                <w:lang w:val="de-DE"/>
              </w:rPr>
              <w:t>Datenbezogene Leistung</w:t>
            </w:r>
          </w:p>
        </w:tc>
        <w:tc>
          <w:tcPr>
            <w:tcW w:w="6350" w:type="dxa"/>
            <w:tcBorders>
              <w:top w:val="single" w:sz="4" w:space="0" w:color="BFBFBF"/>
              <w:left w:val="single" w:sz="4" w:space="0" w:color="BFBFBF"/>
              <w:bottom w:val="single" w:sz="4" w:space="0" w:color="BFBFBF"/>
              <w:right w:val="single" w:sz="4" w:space="0" w:color="BFBFBF"/>
            </w:tcBorders>
          </w:tcPr>
          <w:p w14:paraId="68217A4C" w14:textId="77777777" w:rsidR="003E34F2" w:rsidRDefault="003041CD">
            <w:r>
              <w:rPr>
                <w:lang w:val="de-DE"/>
              </w:rPr>
              <w:t>Beratung, Customizing, Unterstützung bei Datenbereinigung, Datenmigration, Schnittstellenimplementierung zu den Inhaltsbereichen Beschäftigte, Projekte und Drittmittel, Publikationen, wiss. Nachwuchs, Patente und Ausgründungen, Forschungsinfrastrukturen</w:t>
            </w:r>
          </w:p>
        </w:tc>
      </w:tr>
      <w:tr w:rsidR="003E34F2" w:rsidRPr="00DD77DB" w14:paraId="3863C2E5" w14:textId="77777777">
        <w:trPr>
          <w:jc w:val="center"/>
        </w:trPr>
        <w:tc>
          <w:tcPr>
            <w:tcW w:w="2835" w:type="dxa"/>
            <w:tcBorders>
              <w:top w:val="single" w:sz="4" w:space="0" w:color="BFBFBF"/>
              <w:left w:val="single" w:sz="4" w:space="0" w:color="BFBFBF"/>
              <w:bottom w:val="single" w:sz="4" w:space="0" w:color="BFBFBF"/>
              <w:right w:val="single" w:sz="4" w:space="0" w:color="BFBFBF"/>
            </w:tcBorders>
            <w:shd w:val="clear" w:color="auto" w:fill="EDEDED"/>
          </w:tcPr>
          <w:p w14:paraId="0C54D4F1" w14:textId="77777777" w:rsidR="003E34F2" w:rsidRDefault="003041CD">
            <w:pPr>
              <w:rPr>
                <w:lang w:val="de-DE"/>
              </w:rPr>
            </w:pPr>
            <w:r>
              <w:rPr>
                <w:b/>
                <w:lang w:val="de-DE"/>
              </w:rPr>
              <w:t>Funktion der Leistung</w:t>
            </w:r>
          </w:p>
        </w:tc>
        <w:tc>
          <w:tcPr>
            <w:tcW w:w="6350" w:type="dxa"/>
            <w:tcBorders>
              <w:top w:val="single" w:sz="4" w:space="0" w:color="BFBFBF"/>
              <w:left w:val="single" w:sz="4" w:space="0" w:color="BFBFBF"/>
              <w:bottom w:val="single" w:sz="4" w:space="0" w:color="BFBFBF"/>
              <w:right w:val="single" w:sz="4" w:space="0" w:color="BFBFBF"/>
            </w:tcBorders>
          </w:tcPr>
          <w:p w14:paraId="2D79E570" w14:textId="77777777" w:rsidR="003E34F2" w:rsidRPr="005A03E1" w:rsidRDefault="003041CD">
            <w:pPr>
              <w:rPr>
                <w:lang w:val="de-DE"/>
              </w:rPr>
            </w:pPr>
            <w:r>
              <w:rPr>
                <w:lang w:val="de-DE"/>
              </w:rPr>
              <w:t>Beratungs- und Implementierungsdienstleistung im Rahmen der DSpace- basierten Forschungsinformationssystem-Einführung</w:t>
            </w:r>
          </w:p>
        </w:tc>
      </w:tr>
      <w:tr w:rsidR="003E34F2" w14:paraId="3D794839" w14:textId="77777777">
        <w:trPr>
          <w:jc w:val="center"/>
        </w:trPr>
        <w:tc>
          <w:tcPr>
            <w:tcW w:w="2835" w:type="dxa"/>
            <w:tcBorders>
              <w:top w:val="single" w:sz="4" w:space="0" w:color="BFBFBF"/>
              <w:left w:val="single" w:sz="4" w:space="0" w:color="BFBFBF"/>
              <w:bottom w:val="single" w:sz="4" w:space="0" w:color="BFBFBF"/>
              <w:right w:val="single" w:sz="4" w:space="0" w:color="BFBFBF"/>
            </w:tcBorders>
            <w:shd w:val="clear" w:color="auto" w:fill="EDEDED"/>
          </w:tcPr>
          <w:p w14:paraId="6638906C" w14:textId="77777777" w:rsidR="003E34F2" w:rsidRDefault="003041CD">
            <w:pPr>
              <w:rPr>
                <w:lang w:val="de-DE"/>
              </w:rPr>
            </w:pPr>
            <w:r>
              <w:rPr>
                <w:b/>
                <w:lang w:val="de-DE"/>
              </w:rPr>
              <w:t>Organisationseinheit der Auftraggeberin</w:t>
            </w:r>
          </w:p>
        </w:tc>
        <w:tc>
          <w:tcPr>
            <w:tcW w:w="6350" w:type="dxa"/>
            <w:tcBorders>
              <w:top w:val="single" w:sz="4" w:space="0" w:color="BFBFBF"/>
              <w:left w:val="single" w:sz="4" w:space="0" w:color="BFBFBF"/>
              <w:bottom w:val="single" w:sz="4" w:space="0" w:color="BFBFBF"/>
              <w:right w:val="single" w:sz="4" w:space="0" w:color="BFBFBF"/>
            </w:tcBorders>
          </w:tcPr>
          <w:p w14:paraId="23097925" w14:textId="77777777" w:rsidR="003E34F2" w:rsidRDefault="003041CD">
            <w:r>
              <w:rPr>
                <w:lang w:val="de-DE"/>
              </w:rPr>
              <w:t>Chief Information Office</w:t>
            </w:r>
          </w:p>
        </w:tc>
      </w:tr>
    </w:tbl>
    <w:p w14:paraId="70D48CFE" w14:textId="77777777" w:rsidR="003E34F2" w:rsidRDefault="003E34F2">
      <w:pPr>
        <w:rPr>
          <w:lang w:val="de-DE"/>
        </w:rPr>
      </w:pPr>
    </w:p>
    <w:p w14:paraId="2531E7C2" w14:textId="77777777" w:rsidR="003E34F2" w:rsidRDefault="003041CD">
      <w:pPr>
        <w:rPr>
          <w:lang w:val="de-DE"/>
        </w:rPr>
      </w:pPr>
      <w:r>
        <w:rPr>
          <w:lang w:val="de-DE"/>
        </w:rPr>
        <w:t>Die Angaben müssen den datenschutzrechtlichen Gegenstand dieses Auftrags hinreichend bestimmen. Kaufmännische Konditionen, interne Beschaffungsgründe, strategische Erwägungen, unveröffentlichte Forschungsinhalte, Geschäftsgeheimnisse, Quellcode, sicherheitsrelevante Einzelheiten und interne Systemarchitekturen sind nicht aufzunehmen, soweit sie hierfür nicht erforderlich sind.</w:t>
      </w:r>
    </w:p>
    <w:p w14:paraId="0694BE25" w14:textId="77777777" w:rsidR="003E34F2" w:rsidRPr="005A03E1" w:rsidRDefault="003041CD">
      <w:pPr>
        <w:rPr>
          <w:lang w:val="de-DE"/>
        </w:rPr>
      </w:pPr>
      <w:r>
        <w:rPr>
          <w:lang w:val="de-DE"/>
        </w:rPr>
        <w:t>(2) Gegenstand der Verarbeitung ist die Verarbeitung personenbezogener Daten, soweit sie zur Erbringung der in Absatz 1 bezeichneten datenbezogenen Leistung erforderlich ist. Der datenschutzrechtliche Zweck der Verarbeitung ist auf folgenden Funktionszweck beschränkt: Anpassung und Implementierung des DSpace</w:t>
      </w:r>
      <w:r>
        <w:rPr>
          <w:lang w:val="de-DE"/>
        </w:rPr>
        <w:t>-basierten Forschungsinformationssystems einschließlich der Unterstützung bei Datenbereinigung, Datenmigration und Schnittstellenimplementierung sowie der hierfür erforderlichen Test-, Fehleranalyse- und Supportmaßnahmen. Eine Verarbeitung zu anderen Zwecken ist nicht Gegenstand dieses Auftrags.</w:t>
      </w:r>
    </w:p>
    <w:p w14:paraId="134F3B8E" w14:textId="77777777" w:rsidR="003E34F2" w:rsidRDefault="003041CD">
      <w:pPr>
        <w:rPr>
          <w:lang w:val="de-DE"/>
        </w:rPr>
      </w:pPr>
      <w:r>
        <w:rPr>
          <w:lang w:val="de-DE"/>
        </w:rPr>
        <w:t>(3) Der Auftragnehmer ist in die Verarbeitung in folgender Weise eingebunden: Anpassung der Software, Unterstützung bei der Datenbereinigung, Datenmigration, Schnittstellenimplementierung. Der Zugriff des Auftragnehmers auf personenbezogene Daten ist wie folgt ausgestaltet: Zugriff erfolgt ausschließlich für die Dauer und Zwecke des Implementierungsprojekts. Der Auftragnehmer erhält nur insoweit Zugriff, wie dies zur Erfüllung der vertraglich geschuldeten Leistungen erforderlich ist. Der Zugriff erfolgt aus</w:t>
      </w:r>
      <w:r>
        <w:rPr>
          <w:lang w:val="de-DE"/>
        </w:rPr>
        <w:t>schließlich auf dokumentierte Weisung des Auftraggebers und nur durch hierzu berechtigte Personen im Rahmen des jeweils vereinbarten Rechte- und Rollenkonzepts. Betriebs-, Administrations-, Support-, Sicherheits-, Sicherungs-, Migrations-, Protokollierungs-, Rückgabe- und Löschhandlungen sind nur umfasst, soweit sie für die datenbezogene Leistung erforderlich und nach dieser Vereinbarung zulässig sind.</w:t>
      </w:r>
    </w:p>
    <w:p w14:paraId="61AC6D35" w14:textId="77777777" w:rsidR="003E34F2" w:rsidRPr="005A03E1" w:rsidRDefault="003041CD">
      <w:pPr>
        <w:rPr>
          <w:lang w:val="de-DE"/>
        </w:rPr>
      </w:pPr>
      <w:r>
        <w:rPr>
          <w:lang w:val="de-DE"/>
        </w:rPr>
        <w:lastRenderedPageBreak/>
        <w:t xml:space="preserve">(4) Gegenstand der Verarbeitung sind folgende Kategorien personenbezogener Daten und, soweit für Zweck, Schutzbedarf oder Risiken erforderlich, folgende Datenarten: </w:t>
      </w:r>
      <w:r>
        <w:rPr>
          <w:rFonts w:cs="Arial"/>
          <w:color w:val="000000"/>
          <w:lang w:val="de-DE"/>
        </w:rPr>
        <w:t>Personenstammdaten, Daten zu wissenschaftlichen Aktivitäten und Ergebnissen</w:t>
      </w:r>
      <w:r>
        <w:rPr>
          <w:rFonts w:cs="Arial"/>
          <w:lang w:val="de-DE"/>
        </w:rPr>
        <w:t>.</w:t>
      </w:r>
      <w:r>
        <w:rPr>
          <w:lang w:val="de-DE"/>
        </w:rPr>
        <w:t xml:space="preserve"> Betroffen sind folgende Gruppen betroffener Personen: Beschäftigte, Studierende (als Mitautoren von Publikationen, Patenten, Ausgründungen), Gäste (Gastwissenschaftler, Stipendiaten ohne GU-Vertrag), Doktoranden.</w:t>
      </w:r>
    </w:p>
    <w:p w14:paraId="2EE6740E" w14:textId="77777777" w:rsidR="003E34F2" w:rsidRPr="005A03E1" w:rsidRDefault="003041CD">
      <w:pPr>
        <w:rPr>
          <w:color w:val="FF0000"/>
          <w:lang w:val="de-DE"/>
        </w:rPr>
      </w:pPr>
      <w:r>
        <w:rPr>
          <w:lang w:val="de-DE"/>
        </w:rPr>
        <w:t>(5) Die Dauer der Verarbeitung richtet sich nach dem Hauptvertrag</w:t>
      </w:r>
      <w:r>
        <w:rPr>
          <w:color w:val="000000" w:themeColor="text1"/>
          <w:lang w:val="de-DE"/>
        </w:rPr>
        <w:t>.</w:t>
      </w:r>
      <w:r>
        <w:rPr>
          <w:color w:val="FF0000"/>
          <w:lang w:val="de-DE"/>
        </w:rPr>
        <w:t xml:space="preserve"> </w:t>
      </w:r>
      <w:r>
        <w:rPr>
          <w:lang w:val="de-DE"/>
        </w:rPr>
        <w:t>Rückgabe und Löschung richten sich nach Ziffer 14. Abweichende oder ergänzende Fristen oder Verfahren gelten nur, soweit sie hier ausdrücklich festgelegt sind: Keine.</w:t>
      </w:r>
    </w:p>
    <w:p w14:paraId="59FF02D8" w14:textId="77777777" w:rsidR="003E34F2" w:rsidRDefault="003041CD">
      <w:pPr>
        <w:rPr>
          <w:lang w:val="de-DE"/>
        </w:rPr>
      </w:pPr>
      <w:r>
        <w:rPr>
          <w:lang w:val="de-DE"/>
        </w:rPr>
        <w:t>(6) Die Verarbeitung erfolgt an folgenden Standorten, Systemstandorten, Rechenzentren oder Cloud-Regionen: Installation des Systems lokal an der Universitätsbibliothek der Goethe Universität, Verarbeitungstätigkeiten erfolgen gemäß eines zu Auftragsbeginn festzulegenden Rechte- und Rollenkonzepts. Administrative Zugriffe, Supportzugriffe oder sonstige Zugriffe auf personenbezogene Daten erfolgen von folgenden Orten aus: Innerhalb EU mittels Remote-Zugriff oder am Ort der Installation gemäß Rechte- und Rolle</w:t>
      </w:r>
      <w:r>
        <w:rPr>
          <w:lang w:val="de-DE"/>
        </w:rPr>
        <w:t>nkonzept. Eine Verarbeitung außerhalb der Europäischen Union oder des Europäischen Wirtschaftsraums sowie ein Zugriff aus einem Drittland sind nur zulässig, soweit dies in dieser Vereinbarung ausdrücklich vorgesehen ist und die Anforderungen der Ziffer 9 erfüllt sind.</w:t>
      </w:r>
    </w:p>
    <w:p w14:paraId="271CF66E" w14:textId="77777777" w:rsidR="003E34F2" w:rsidRPr="005A03E1" w:rsidRDefault="003041CD">
      <w:pPr>
        <w:rPr>
          <w:lang w:val="de-DE"/>
        </w:rPr>
      </w:pPr>
      <w:r>
        <w:rPr>
          <w:lang w:val="de-DE"/>
        </w:rPr>
        <w:t>(7) Der Schutzbedarf der Verarbeitung wird als erhöht eingeordnet. Daten mit erhöhtem oder hohem Schutzbedarf, insbesondere besondere Kategorien personenbezogener Daten nach Artikel 9 DSGVO, Daten nach Artikel 10 DSGVO, Prüfungsdaten, Forschungsdaten, Beschäftigtendaten, Daten mit Berufs- oder Amtsgeheimnisbezug oder sonstige Daten, deren unbefugte Verarbeitung erhebliche Nachteile für betroffene Personen verursachen kann, sind Gegenstand der Verarbeitung, nämlich: Beschäftigtenstammdaten.</w:t>
      </w:r>
    </w:p>
    <w:p w14:paraId="1D26AB43" w14:textId="77777777" w:rsidR="003E34F2" w:rsidRDefault="003041CD">
      <w:pPr>
        <w:rPr>
          <w:lang w:val="de-DE"/>
        </w:rPr>
      </w:pPr>
      <w:r>
        <w:rPr>
          <w:lang w:val="de-DE"/>
        </w:rPr>
        <w:t>(8) Diese Ziffer dient der vertraglichen Bestimmung von Gegenstand, Dauer, Art, Zweck und Umfang der Auftragsverarbeitung sowie der betroffenen Daten und Personengruppen. Sie begründet kein eigenständiges Verzeichnis der Verarbeitungstätigkeiten und ersetzt weder das Verzeichnis der Auftraggeberin noch ein vom Auftragnehmer zu führendes Verzeichnis nach Artikel 30 DSGVO.</w:t>
      </w:r>
    </w:p>
    <w:p w14:paraId="6F84DFE3" w14:textId="77777777" w:rsidR="003E34F2" w:rsidRDefault="003041CD">
      <w:pPr>
        <w:rPr>
          <w:lang w:val="de-DE"/>
        </w:rPr>
      </w:pPr>
      <w:r>
        <w:rPr>
          <w:lang w:val="de-DE"/>
        </w:rPr>
        <w:t>(9) Die Verarbeitung darf erst beginnen, wenn die datenbezogene Leistung, der datenschutzrechtliche Funktionszweck, die tatsächliche Einbindung des Auftragnehmers, die betroffenen Daten, die betroffenen Personengruppen, die Dauer der Verarbeitung und die für den Auftrag wesentlichen Verarbeitungsorte hinreichend bestimmt sind. Fehlende oder unklare Angaben sind vor Beginn der Verarbeitung in Textform zu ergänzen. Eine Einzelfallfassung dieser Vereinbarung darf nicht mit offenen Pflichtangaben zu datenbezoge</w:t>
      </w:r>
      <w:r>
        <w:rPr>
          <w:lang w:val="de-DE"/>
        </w:rPr>
        <w:t>ner Leistung, Funktionszweck, Einbindung des Auftragnehmers, Datenkategorien, betroffenen Personengruppen, Dauer, Verarbeitungsorten, Zugriffsorten oder Schutzbedarf unterzeichnet oder für den Beginn der Verarbeitung freigegeben werden. Ist die datenbezogene Leistung nicht hinreichend aus dem Vertragstext bestimmbar, sind die hierfür erforderlichen Angaben in einer ergänzenden Anlage oder Leistungsbeschreibung festzulegen.</w:t>
      </w:r>
    </w:p>
    <w:p w14:paraId="578DEA4B" w14:textId="77777777" w:rsidR="003E34F2" w:rsidRDefault="003041CD">
      <w:pPr>
        <w:rPr>
          <w:lang w:val="de-DE"/>
        </w:rPr>
      </w:pPr>
      <w:r>
        <w:rPr>
          <w:lang w:val="de-DE"/>
        </w:rPr>
        <w:t>(10) Änderungen der datenbezogenen Leistung, des datenschutzrechtlichen Funktionszwecks, der tatsächlichen Einbindung des Auftragnehmers, der Zugriffssituation, der betroffenen Daten, der betroffenen Personengruppen, der Verarbeitungsdauer, der Verarbeitungsorte, des Schutzbedarfs oder eines Drittlandbezugs bedürfen einer dokumentierten Weisung der Auftraggeberin oder, soweit sie den vertraglichen Rahmen erweitern, einer Änderung dieser Vereinbarung. Besondere Anforderungen dieser Vereinbarung bleiben unber</w:t>
      </w:r>
      <w:r>
        <w:rPr>
          <w:lang w:val="de-DE"/>
        </w:rPr>
        <w:t>ührt.</w:t>
      </w:r>
    </w:p>
    <w:p w14:paraId="7A622F8F" w14:textId="77777777" w:rsidR="003E34F2" w:rsidRDefault="003041CD">
      <w:pPr>
        <w:pStyle w:val="berschrift1"/>
        <w:rPr>
          <w:lang w:val="de-DE"/>
        </w:rPr>
      </w:pPr>
      <w:r>
        <w:rPr>
          <w:lang w:val="de-DE"/>
        </w:rPr>
        <w:lastRenderedPageBreak/>
        <w:t>3. Verantwortung der Auftraggeberin</w:t>
      </w:r>
    </w:p>
    <w:p w14:paraId="23C78BDE" w14:textId="77777777" w:rsidR="003E34F2" w:rsidRDefault="003041CD">
      <w:pPr>
        <w:rPr>
          <w:lang w:val="de-DE"/>
        </w:rPr>
      </w:pPr>
      <w:r>
        <w:rPr>
          <w:lang w:val="de-DE"/>
        </w:rPr>
        <w:t xml:space="preserve">(1) Die Auftraggeberin ist für die datenschutzrechtliche Zulässigkeit der </w:t>
      </w:r>
      <w:proofErr w:type="gramStart"/>
      <w:r>
        <w:rPr>
          <w:lang w:val="de-DE"/>
        </w:rPr>
        <w:t>von ihr veranlassten Verarbeitung</w:t>
      </w:r>
      <w:proofErr w:type="gramEnd"/>
      <w:r>
        <w:rPr>
          <w:lang w:val="de-DE"/>
        </w:rPr>
        <w:t>, für die Festlegung der Zwecke, für die Rechtmäßigkeit ihrer Weisungen und für die Wahrung der Rechte betroffener Personen verantwortlich.</w:t>
      </w:r>
    </w:p>
    <w:p w14:paraId="394D947F" w14:textId="77777777" w:rsidR="003E34F2" w:rsidRDefault="003041CD">
      <w:pPr>
        <w:rPr>
          <w:lang w:val="de-DE"/>
        </w:rPr>
      </w:pPr>
      <w:r>
        <w:rPr>
          <w:lang w:val="de-DE"/>
        </w:rPr>
        <w:t>(2) Die Auftraggeberin erteilt die für die Durchführung der Auftragsverarbeitung erforderlichen Weisungen. Sie informiert den Auftragnehmer über besondere Umstände der Verarbeitung, soweit diese für eine sichere und rechtmäßige Auftragsverarbeitung erforderlich sind. Dies gilt insbesondere für erhöhte oder hohe Schutzbedarfe, gesetzliche Geheimhaltungspflichten, besondere Kategorien personenbezogener Daten, Daten nach Artikel 10 DSGVO sowie für Forschungs-, Prüfungs-, Beschäftigten-, Gesundheits- oder Sozia</w:t>
      </w:r>
      <w:r>
        <w:rPr>
          <w:lang w:val="de-DE"/>
        </w:rPr>
        <w:t>ldaten und für besondere datenschutzrechtliche Anforderungen aus Drittmittel-, Studien- oder Kooperationsverträgen.</w:t>
      </w:r>
    </w:p>
    <w:p w14:paraId="7046A599" w14:textId="77777777" w:rsidR="003E34F2" w:rsidRDefault="003041CD">
      <w:pPr>
        <w:rPr>
          <w:lang w:val="de-DE"/>
        </w:rPr>
      </w:pPr>
      <w:r>
        <w:rPr>
          <w:lang w:val="de-DE"/>
        </w:rPr>
        <w:t>(3) Erkennt die Auftraggeberin Umstände, die für die Sicherheit oder Rechtmäßigkeit der Auftragsverarbeitung erheblich sein können und eine Mitwirkung des Auftragnehmers erfordern, informiert sie den Auftragnehmer unverzüglich.</w:t>
      </w:r>
    </w:p>
    <w:p w14:paraId="614BDA23" w14:textId="77777777" w:rsidR="003E34F2" w:rsidRDefault="003041CD">
      <w:pPr>
        <w:pStyle w:val="berschrift1"/>
        <w:rPr>
          <w:lang w:val="de-DE"/>
        </w:rPr>
      </w:pPr>
      <w:r>
        <w:rPr>
          <w:lang w:val="de-DE"/>
        </w:rPr>
        <w:t>4. Allgemeine Pflichten des Auftragnehmers</w:t>
      </w:r>
    </w:p>
    <w:p w14:paraId="35FC5EC9" w14:textId="77777777" w:rsidR="003E34F2" w:rsidRDefault="003041CD">
      <w:pPr>
        <w:rPr>
          <w:lang w:val="de-DE"/>
        </w:rPr>
      </w:pPr>
      <w:r>
        <w:rPr>
          <w:lang w:val="de-DE"/>
        </w:rPr>
        <w:t>(1) Der Auftragnehmer verarbeitet personenbezogene Daten ausschließlich im Rahmen der in Ziffer 2 bestimmten Auftragsverarbeitung und nach den dokumentierten Weisungen der Auftraggeberin. Er stellt durch geeignete organisatorische Vorgaben sicher, dass diese Anforderungen von allen Personen beachtet werden, die mit der Verarbeitung befasst sind.</w:t>
      </w:r>
    </w:p>
    <w:p w14:paraId="2DCD1857" w14:textId="77777777" w:rsidR="003E34F2" w:rsidRDefault="003041CD">
      <w:pPr>
        <w:rPr>
          <w:lang w:val="de-DE"/>
        </w:rPr>
      </w:pPr>
      <w:r>
        <w:rPr>
          <w:lang w:val="de-DE"/>
        </w:rPr>
        <w:t>(2) Der Auftragnehmer verarbeitet die im Auftrag verarbeiteten personenbezogenen Daten nicht für eigene Zwecke, insbesondere nicht für Werbung, Marktanalyse, Profilbildung, Produktentwicklung, Training von Systemen oder Benchmarking. Technische Protokoll- und Telemetriedaten darf der Auftragnehmer nur verarbeiten, soweit dies für Sicherheit, Fehleranalyse, Betrieb, Störungsbeseitigung oder den Nachweis der ordnungsgemäßen Leistungserbringung erforderlich ist und keine Weisung der Auftraggeberin entgegensteh</w:t>
      </w:r>
      <w:r>
        <w:rPr>
          <w:lang w:val="de-DE"/>
        </w:rPr>
        <w:t>t. Eine weitergehende Nutzung dieser Daten zu eigenen Zwecken ist ausgeschlossen.</w:t>
      </w:r>
    </w:p>
    <w:p w14:paraId="302B9AD9" w14:textId="77777777" w:rsidR="003E34F2" w:rsidRDefault="003041CD">
      <w:pPr>
        <w:rPr>
          <w:lang w:val="de-DE"/>
        </w:rPr>
      </w:pPr>
      <w:r>
        <w:rPr>
          <w:lang w:val="de-DE"/>
        </w:rPr>
        <w:t>(3) Der Auftragnehmer darf personenbezogene Daten Dritten nur offenlegen, soweit dies in dieser Vereinbarung zugelassen ist oder auf einer dokumentierten Weisung der Auftraggeberin beruht. Gesetzliche Offenlegungspflichten bleiben unberührt; der Auftragnehmer informiert die Auftraggeberin vor der Offenlegung, soweit gesetzliche Vorschriften dies nicht wegen eines wichtigen öffentlichen Interesses untersagen.</w:t>
      </w:r>
    </w:p>
    <w:p w14:paraId="13E03720" w14:textId="77777777" w:rsidR="003E34F2" w:rsidRDefault="003041CD">
      <w:pPr>
        <w:rPr>
          <w:lang w:val="de-DE"/>
        </w:rPr>
      </w:pPr>
      <w:r>
        <w:rPr>
          <w:lang w:val="de-DE"/>
        </w:rPr>
        <w:t>(4) Der Auftragnehmer führt, soweit gesetzlich erforderlich, das Verzeichnis nach Artikel 30 Absatz 2 DSGVO. Er unterstützt die Auftraggeberin bei der Erstellung, Prüfung und Fortschreibung ihres Verzeichnisses der Verarbeitungstätigkeiten, soweit die von dieser Vereinbarung erfasste Verarbeitung betroffen ist. Auf Anforderung stellt der Auftragnehmer der Auftraggeberin die hierfür erforderlichen auftragsbezogenen Angaben aus seinem Verzeichnis nach Artikel 30 Absatz 2 DSGVO oder einen gleichwertigen prüffä</w:t>
      </w:r>
      <w:r>
        <w:rPr>
          <w:lang w:val="de-DE"/>
        </w:rPr>
        <w:t>higen Nachweis zur Verfügung. Angaben zu anderen Auftraggebern, Geschäftsgeheimnisse und sicherheitsrelevante Informationen dürfen geschwärzt werden, soweit die Prüfung der für diesen Auftrag maßgeblichen Verarbeitung dadurch nicht beeinträchtigt wird.</w:t>
      </w:r>
    </w:p>
    <w:p w14:paraId="1BAF7442" w14:textId="77777777" w:rsidR="003E34F2" w:rsidRDefault="003041CD">
      <w:pPr>
        <w:rPr>
          <w:lang w:val="de-DE"/>
        </w:rPr>
      </w:pPr>
      <w:r>
        <w:rPr>
          <w:lang w:val="de-DE"/>
        </w:rPr>
        <w:t>(5) Der Auftragnehmer gewährleistet eine angemessene technische oder organisatorische Trennung der personenbezogenen Daten der Auftraggeberin von sonstigen Datenbeständen, soweit dies nach Art, Umfang, Zweck und Risiko der Verarbeitung erforderlich ist. Kopien personenbezogener Daten erstellt der Auftragnehmer nur, soweit dies für die Erbringung der datenbezogenen Leistung, Sicherheit, Nachweisführung, Fehleranalyse, Datensicherung oder gesetzliche Aufbewahrung erforderlich ist.</w:t>
      </w:r>
    </w:p>
    <w:p w14:paraId="350BD335" w14:textId="77777777" w:rsidR="003E34F2" w:rsidRDefault="003041CD">
      <w:pPr>
        <w:pStyle w:val="berschrift1"/>
        <w:rPr>
          <w:lang w:val="de-DE"/>
        </w:rPr>
      </w:pPr>
      <w:r>
        <w:rPr>
          <w:lang w:val="de-DE"/>
        </w:rPr>
        <w:lastRenderedPageBreak/>
        <w:t>5. Weisungen und berechtigte Personen</w:t>
      </w:r>
    </w:p>
    <w:p w14:paraId="21B259D1" w14:textId="77777777" w:rsidR="003E34F2" w:rsidRDefault="003041CD">
      <w:pPr>
        <w:rPr>
          <w:lang w:val="de-DE"/>
        </w:rPr>
      </w:pPr>
      <w:r>
        <w:rPr>
          <w:lang w:val="de-DE"/>
        </w:rPr>
        <w:t>(1) Weisungen der Auftraggeberin werden in Textform erteilt. In Eilfällen können Weisungen zunächst mündlich erteilt werden; sie sind unverzüglich in Textform zu bestätigen. Der Auftragnehmer dokumentiert Weisungen, Bestätigungen und deren Umsetzung nachvollziehbar und bewahrt die Dokumentation während der Laufzeit der betroffenen Verarbeitung sowie für drei volle Kalenderjahre nach deren Ende auf.</w:t>
      </w:r>
    </w:p>
    <w:p w14:paraId="522C7E4B" w14:textId="77777777" w:rsidR="003E34F2" w:rsidRDefault="003041CD">
      <w:pPr>
        <w:rPr>
          <w:lang w:val="de-DE"/>
        </w:rPr>
      </w:pPr>
      <w:r>
        <w:rPr>
          <w:lang w:val="de-DE"/>
        </w:rPr>
        <w:t>(2) Weisungen können sich insbesondere auf Art, Umfang und Ablauf der Verarbeitung, Berichtigung, Löschung, Einschränkung der Verarbeitung, Herausgabe, Beschränkung oder Entzug von Zugriffsrechten, Sicherheitsmaßnahmen, den Umgang mit Anfragen betroffener Personen sowie die Beendigung der Verarbeitung beziehen.</w:t>
      </w:r>
    </w:p>
    <w:p w14:paraId="0FF5D525" w14:textId="77777777" w:rsidR="003E34F2" w:rsidRDefault="003041CD">
      <w:pPr>
        <w:rPr>
          <w:lang w:val="de-DE"/>
        </w:rPr>
      </w:pPr>
      <w:r>
        <w:rPr>
          <w:lang w:val="de-DE"/>
        </w:rPr>
        <w:t>(3) Weisungsberechtigt sind nur die nachstehend benannten Personen der Auftraggeberin. Weisungsempfangsberechtigt sind nur die nachstehend benannten Personen des Auftragnehmers. Änderungen der benannten Personen, Vertretungsregelungen und längere Verhinderungen sind der jeweils anderen Partei unverzüglich in Textform mitzuteilen.</w:t>
      </w:r>
    </w:p>
    <w:p w14:paraId="64FEB45F" w14:textId="77777777" w:rsidR="003E34F2" w:rsidRDefault="003041CD">
      <w:pPr>
        <w:rPr>
          <w:lang w:val="de-DE"/>
        </w:rPr>
      </w:pPr>
      <w:r>
        <w:rPr>
          <w:lang w:val="de-DE"/>
        </w:rPr>
        <w:t>(4) Die Verarbeitung darf erst beginnen, wenn die Auftraggeberin mindestens eine weisungsberechtigte Person und der Auftragnehmer mindestens eine zur Entgegennahme von Weisungen berechtigte Person jeweils einschließlich eines zulässigen Kommunikationswegs benannt haben.</w:t>
      </w:r>
    </w:p>
    <w:p w14:paraId="1A5A88BD" w14:textId="77777777" w:rsidR="003E34F2" w:rsidRDefault="003041CD">
      <w:pPr>
        <w:pStyle w:val="berschrift2"/>
        <w:rPr>
          <w:lang w:val="de-DE"/>
        </w:rPr>
      </w:pPr>
      <w:r>
        <w:rPr>
          <w:lang w:val="de-DE"/>
        </w:rPr>
        <w:t>Weisungsberechtigte Personen der Auftraggeberin</w:t>
      </w:r>
    </w:p>
    <w:tbl>
      <w:tblPr>
        <w:tblW w:w="0" w:type="auto"/>
        <w:jc w:val="center"/>
        <w:tblLook w:val="04A0" w:firstRow="1" w:lastRow="0" w:firstColumn="1" w:lastColumn="0" w:noHBand="0" w:noVBand="1"/>
      </w:tblPr>
      <w:tblGrid>
        <w:gridCol w:w="1887"/>
        <w:gridCol w:w="1807"/>
        <w:gridCol w:w="1928"/>
        <w:gridCol w:w="1903"/>
        <w:gridCol w:w="2437"/>
      </w:tblGrid>
      <w:tr w:rsidR="003E34F2" w14:paraId="5A6438D7" w14:textId="77777777">
        <w:trPr>
          <w:tblHeader/>
          <w:jc w:val="center"/>
        </w:trPr>
        <w:tc>
          <w:tcPr>
            <w:tcW w:w="1994" w:type="dxa"/>
            <w:tcBorders>
              <w:top w:val="single" w:sz="4" w:space="0" w:color="D6DADF"/>
              <w:left w:val="single" w:sz="4" w:space="0" w:color="D6DADF"/>
              <w:bottom w:val="single" w:sz="4" w:space="0" w:color="D6DADF"/>
              <w:right w:val="single" w:sz="4" w:space="0" w:color="D6DADF"/>
            </w:tcBorders>
            <w:shd w:val="clear" w:color="auto" w:fill="EDEFF2"/>
            <w:tcMar>
              <w:top w:w="70" w:type="dxa"/>
              <w:left w:w="70" w:type="dxa"/>
              <w:bottom w:w="70" w:type="dxa"/>
              <w:right w:w="70" w:type="dxa"/>
            </w:tcMar>
          </w:tcPr>
          <w:p w14:paraId="1E3C878A" w14:textId="77777777" w:rsidR="003E34F2" w:rsidRDefault="003041CD">
            <w:pPr>
              <w:rPr>
                <w:lang w:val="de-DE"/>
              </w:rPr>
            </w:pPr>
            <w:r>
              <w:rPr>
                <w:b/>
                <w:lang w:val="de-DE"/>
              </w:rPr>
              <w:t>Rolle / Funktion</w:t>
            </w:r>
          </w:p>
        </w:tc>
        <w:tc>
          <w:tcPr>
            <w:tcW w:w="1994" w:type="dxa"/>
            <w:tcBorders>
              <w:top w:val="single" w:sz="4" w:space="0" w:color="D6DADF"/>
              <w:left w:val="single" w:sz="4" w:space="0" w:color="D6DADF"/>
              <w:bottom w:val="single" w:sz="4" w:space="0" w:color="D6DADF"/>
              <w:right w:val="single" w:sz="4" w:space="0" w:color="D6DADF"/>
            </w:tcBorders>
            <w:shd w:val="clear" w:color="auto" w:fill="EDEFF2"/>
            <w:tcMar>
              <w:top w:w="70" w:type="dxa"/>
              <w:left w:w="70" w:type="dxa"/>
              <w:bottom w:w="70" w:type="dxa"/>
              <w:right w:w="70" w:type="dxa"/>
            </w:tcMar>
          </w:tcPr>
          <w:p w14:paraId="13287A8C" w14:textId="77777777" w:rsidR="003E34F2" w:rsidRDefault="003041CD">
            <w:pPr>
              <w:rPr>
                <w:lang w:val="de-DE"/>
              </w:rPr>
            </w:pPr>
            <w:r>
              <w:rPr>
                <w:b/>
                <w:lang w:val="de-DE"/>
              </w:rPr>
              <w:t>Vorname und Name</w:t>
            </w:r>
          </w:p>
        </w:tc>
        <w:tc>
          <w:tcPr>
            <w:tcW w:w="1994" w:type="dxa"/>
            <w:tcBorders>
              <w:top w:val="single" w:sz="4" w:space="0" w:color="D6DADF"/>
              <w:left w:val="single" w:sz="4" w:space="0" w:color="D6DADF"/>
              <w:bottom w:val="single" w:sz="4" w:space="0" w:color="D6DADF"/>
              <w:right w:val="single" w:sz="4" w:space="0" w:color="D6DADF"/>
            </w:tcBorders>
            <w:shd w:val="clear" w:color="auto" w:fill="EDEFF2"/>
            <w:tcMar>
              <w:top w:w="70" w:type="dxa"/>
              <w:left w:w="70" w:type="dxa"/>
              <w:bottom w:w="70" w:type="dxa"/>
              <w:right w:w="70" w:type="dxa"/>
            </w:tcMar>
          </w:tcPr>
          <w:p w14:paraId="12F2164B" w14:textId="77777777" w:rsidR="003E34F2" w:rsidRDefault="003041CD">
            <w:pPr>
              <w:rPr>
                <w:lang w:val="de-DE"/>
              </w:rPr>
            </w:pPr>
            <w:r>
              <w:rPr>
                <w:b/>
                <w:lang w:val="de-DE"/>
              </w:rPr>
              <w:t>E-Mail</w:t>
            </w:r>
          </w:p>
        </w:tc>
        <w:tc>
          <w:tcPr>
            <w:tcW w:w="1994" w:type="dxa"/>
            <w:tcBorders>
              <w:top w:val="single" w:sz="4" w:space="0" w:color="D6DADF"/>
              <w:left w:val="single" w:sz="4" w:space="0" w:color="D6DADF"/>
              <w:bottom w:val="single" w:sz="4" w:space="0" w:color="D6DADF"/>
              <w:right w:val="single" w:sz="4" w:space="0" w:color="D6DADF"/>
            </w:tcBorders>
            <w:shd w:val="clear" w:color="auto" w:fill="EDEFF2"/>
            <w:tcMar>
              <w:top w:w="70" w:type="dxa"/>
              <w:left w:w="70" w:type="dxa"/>
              <w:bottom w:w="70" w:type="dxa"/>
              <w:right w:w="70" w:type="dxa"/>
            </w:tcMar>
          </w:tcPr>
          <w:p w14:paraId="6C4DEF05" w14:textId="77777777" w:rsidR="003E34F2" w:rsidRDefault="003041CD">
            <w:pPr>
              <w:rPr>
                <w:lang w:val="de-DE"/>
              </w:rPr>
            </w:pPr>
            <w:r>
              <w:rPr>
                <w:b/>
                <w:lang w:val="de-DE"/>
              </w:rPr>
              <w:t>Telefon</w:t>
            </w:r>
          </w:p>
        </w:tc>
        <w:tc>
          <w:tcPr>
            <w:tcW w:w="1994" w:type="dxa"/>
            <w:tcBorders>
              <w:top w:val="single" w:sz="4" w:space="0" w:color="D6DADF"/>
              <w:left w:val="single" w:sz="4" w:space="0" w:color="D6DADF"/>
              <w:bottom w:val="single" w:sz="4" w:space="0" w:color="D6DADF"/>
              <w:right w:val="single" w:sz="4" w:space="0" w:color="D6DADF"/>
            </w:tcBorders>
            <w:shd w:val="clear" w:color="auto" w:fill="EDEFF2"/>
            <w:tcMar>
              <w:top w:w="70" w:type="dxa"/>
              <w:left w:w="70" w:type="dxa"/>
              <w:bottom w:w="70" w:type="dxa"/>
              <w:right w:w="70" w:type="dxa"/>
            </w:tcMar>
          </w:tcPr>
          <w:p w14:paraId="04D7805E" w14:textId="77777777" w:rsidR="003E34F2" w:rsidRDefault="003041CD">
            <w:pPr>
              <w:rPr>
                <w:lang w:val="de-DE"/>
              </w:rPr>
            </w:pPr>
            <w:r>
              <w:rPr>
                <w:b/>
                <w:lang w:val="de-DE"/>
              </w:rPr>
              <w:t>Vertretung / Weisungskanal / Eskalation</w:t>
            </w:r>
          </w:p>
        </w:tc>
      </w:tr>
      <w:tr w:rsidR="003E34F2" w14:paraId="7931087E" w14:textId="77777777">
        <w:trPr>
          <w:jc w:val="center"/>
        </w:trPr>
        <w:tc>
          <w:tcPr>
            <w:tcW w:w="1994"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51E56DC4" w14:textId="77777777" w:rsidR="003E34F2" w:rsidRDefault="003041CD">
            <w:r>
              <w:rPr>
                <w:lang w:val="de-DE"/>
              </w:rPr>
              <w:t>Projektleitung</w:t>
            </w:r>
          </w:p>
        </w:tc>
        <w:tc>
          <w:tcPr>
            <w:tcW w:w="1994"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69B0D3FD" w14:textId="77777777" w:rsidR="003E34F2" w:rsidRDefault="003041CD">
            <w:r>
              <w:rPr>
                <w:lang w:val="de-DE"/>
              </w:rPr>
              <w:t>Dr. Clara N. Kriebel</w:t>
            </w:r>
          </w:p>
        </w:tc>
        <w:tc>
          <w:tcPr>
            <w:tcW w:w="1994"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3FC17E4E" w14:textId="77777777" w:rsidR="003E34F2" w:rsidRDefault="003041CD">
            <w:r w:rsidRPr="005A03E1">
              <w:t>kriebel@ltg.uni-frankfurt.de</w:t>
            </w:r>
          </w:p>
        </w:tc>
        <w:tc>
          <w:tcPr>
            <w:tcW w:w="1994"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7D1757AA" w14:textId="77777777" w:rsidR="003E34F2" w:rsidRDefault="003041CD">
            <w:r>
              <w:rPr>
                <w:lang w:val="de-DE"/>
              </w:rPr>
              <w:t>069/79812353</w:t>
            </w:r>
          </w:p>
        </w:tc>
        <w:tc>
          <w:tcPr>
            <w:tcW w:w="1994"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038B1317" w14:textId="77777777" w:rsidR="003E34F2" w:rsidRDefault="003041CD">
            <w:pPr>
              <w:rPr>
                <w:lang w:val="de-DE"/>
              </w:rPr>
            </w:pPr>
            <w:r>
              <w:rPr>
                <w:lang w:val="de-DE"/>
              </w:rPr>
              <w:t>Vertretung im Projektteam: Nadine Knippenberg &lt;knippenberg@em.uni-frankfurt.de&gt; und Jakob Jung &lt;J.Jung@ub.uni-frankfurt.de&gt;.</w:t>
            </w:r>
          </w:p>
          <w:p w14:paraId="0968166D" w14:textId="77777777" w:rsidR="003E34F2" w:rsidRDefault="003041CD">
            <w:r>
              <w:rPr>
                <w:lang w:val="de-DE"/>
              </w:rPr>
              <w:t>Bei Eskalation: Büroleitung Chief Information Office, Beate Firla &lt;firla@ltg.uni-frankfurt.de&gt;</w:t>
            </w:r>
          </w:p>
        </w:tc>
      </w:tr>
    </w:tbl>
    <w:p w14:paraId="691FD31D" w14:textId="77777777" w:rsidR="003E34F2" w:rsidRDefault="003041CD">
      <w:pPr>
        <w:pStyle w:val="berschrift2"/>
        <w:rPr>
          <w:lang w:val="de-DE"/>
        </w:rPr>
      </w:pPr>
      <w:r>
        <w:rPr>
          <w:lang w:val="de-DE"/>
        </w:rPr>
        <w:lastRenderedPageBreak/>
        <w:t>Weisungsempfangsberechtigte Personen des Auftragnehmers</w:t>
      </w:r>
    </w:p>
    <w:tbl>
      <w:tblPr>
        <w:tblW w:w="0" w:type="auto"/>
        <w:jc w:val="center"/>
        <w:tblLook w:val="04A0" w:firstRow="1" w:lastRow="0" w:firstColumn="1" w:lastColumn="0" w:noHBand="0" w:noVBand="1"/>
      </w:tblPr>
      <w:tblGrid>
        <w:gridCol w:w="1992"/>
        <w:gridCol w:w="1992"/>
        <w:gridCol w:w="1992"/>
        <w:gridCol w:w="1992"/>
        <w:gridCol w:w="1994"/>
      </w:tblGrid>
      <w:tr w:rsidR="003E34F2" w14:paraId="497E012C" w14:textId="77777777">
        <w:trPr>
          <w:tblHeader/>
          <w:jc w:val="center"/>
        </w:trPr>
        <w:tc>
          <w:tcPr>
            <w:tcW w:w="1994" w:type="dxa"/>
            <w:tcBorders>
              <w:top w:val="single" w:sz="4" w:space="0" w:color="D6DADF"/>
              <w:left w:val="single" w:sz="4" w:space="0" w:color="D6DADF"/>
              <w:bottom w:val="single" w:sz="4" w:space="0" w:color="D6DADF"/>
              <w:right w:val="single" w:sz="4" w:space="0" w:color="D6DADF"/>
            </w:tcBorders>
            <w:shd w:val="clear" w:color="auto" w:fill="EDEFF2"/>
            <w:tcMar>
              <w:top w:w="70" w:type="dxa"/>
              <w:left w:w="70" w:type="dxa"/>
              <w:bottom w:w="70" w:type="dxa"/>
              <w:right w:w="70" w:type="dxa"/>
            </w:tcMar>
          </w:tcPr>
          <w:p w14:paraId="04F2FDCB" w14:textId="77777777" w:rsidR="003E34F2" w:rsidRDefault="003041CD">
            <w:pPr>
              <w:rPr>
                <w:lang w:val="de-DE"/>
              </w:rPr>
            </w:pPr>
            <w:r>
              <w:rPr>
                <w:b/>
                <w:lang w:val="de-DE"/>
              </w:rPr>
              <w:t>Rolle / Funktion</w:t>
            </w:r>
          </w:p>
        </w:tc>
        <w:tc>
          <w:tcPr>
            <w:tcW w:w="1994" w:type="dxa"/>
            <w:tcBorders>
              <w:top w:val="single" w:sz="4" w:space="0" w:color="D6DADF"/>
              <w:left w:val="single" w:sz="4" w:space="0" w:color="D6DADF"/>
              <w:bottom w:val="single" w:sz="4" w:space="0" w:color="D6DADF"/>
              <w:right w:val="single" w:sz="4" w:space="0" w:color="D6DADF"/>
            </w:tcBorders>
            <w:shd w:val="clear" w:color="auto" w:fill="EDEFF2"/>
            <w:tcMar>
              <w:top w:w="70" w:type="dxa"/>
              <w:left w:w="70" w:type="dxa"/>
              <w:bottom w:w="70" w:type="dxa"/>
              <w:right w:w="70" w:type="dxa"/>
            </w:tcMar>
          </w:tcPr>
          <w:p w14:paraId="78FF0AB1" w14:textId="77777777" w:rsidR="003E34F2" w:rsidRDefault="003041CD">
            <w:pPr>
              <w:rPr>
                <w:lang w:val="de-DE"/>
              </w:rPr>
            </w:pPr>
            <w:r>
              <w:rPr>
                <w:b/>
                <w:lang w:val="de-DE"/>
              </w:rPr>
              <w:t>Vorname und Name</w:t>
            </w:r>
          </w:p>
        </w:tc>
        <w:tc>
          <w:tcPr>
            <w:tcW w:w="1994" w:type="dxa"/>
            <w:tcBorders>
              <w:top w:val="single" w:sz="4" w:space="0" w:color="D6DADF"/>
              <w:left w:val="single" w:sz="4" w:space="0" w:color="D6DADF"/>
              <w:bottom w:val="single" w:sz="4" w:space="0" w:color="D6DADF"/>
              <w:right w:val="single" w:sz="4" w:space="0" w:color="D6DADF"/>
            </w:tcBorders>
            <w:shd w:val="clear" w:color="auto" w:fill="EDEFF2"/>
            <w:tcMar>
              <w:top w:w="70" w:type="dxa"/>
              <w:left w:w="70" w:type="dxa"/>
              <w:bottom w:w="70" w:type="dxa"/>
              <w:right w:w="70" w:type="dxa"/>
            </w:tcMar>
          </w:tcPr>
          <w:p w14:paraId="6B4A201C" w14:textId="77777777" w:rsidR="003E34F2" w:rsidRDefault="003041CD">
            <w:pPr>
              <w:rPr>
                <w:lang w:val="de-DE"/>
              </w:rPr>
            </w:pPr>
            <w:r>
              <w:rPr>
                <w:b/>
                <w:lang w:val="de-DE"/>
              </w:rPr>
              <w:t>E-Mail</w:t>
            </w:r>
          </w:p>
        </w:tc>
        <w:tc>
          <w:tcPr>
            <w:tcW w:w="1994" w:type="dxa"/>
            <w:tcBorders>
              <w:top w:val="single" w:sz="4" w:space="0" w:color="D6DADF"/>
              <w:left w:val="single" w:sz="4" w:space="0" w:color="D6DADF"/>
              <w:bottom w:val="single" w:sz="4" w:space="0" w:color="D6DADF"/>
              <w:right w:val="single" w:sz="4" w:space="0" w:color="D6DADF"/>
            </w:tcBorders>
            <w:shd w:val="clear" w:color="auto" w:fill="EDEFF2"/>
            <w:tcMar>
              <w:top w:w="70" w:type="dxa"/>
              <w:left w:w="70" w:type="dxa"/>
              <w:bottom w:w="70" w:type="dxa"/>
              <w:right w:w="70" w:type="dxa"/>
            </w:tcMar>
          </w:tcPr>
          <w:p w14:paraId="15BEBD19" w14:textId="77777777" w:rsidR="003E34F2" w:rsidRDefault="003041CD">
            <w:pPr>
              <w:rPr>
                <w:lang w:val="de-DE"/>
              </w:rPr>
            </w:pPr>
            <w:r>
              <w:rPr>
                <w:b/>
                <w:lang w:val="de-DE"/>
              </w:rPr>
              <w:t>Telefon</w:t>
            </w:r>
          </w:p>
        </w:tc>
        <w:tc>
          <w:tcPr>
            <w:tcW w:w="1994" w:type="dxa"/>
            <w:tcBorders>
              <w:top w:val="single" w:sz="4" w:space="0" w:color="D6DADF"/>
              <w:left w:val="single" w:sz="4" w:space="0" w:color="D6DADF"/>
              <w:bottom w:val="single" w:sz="4" w:space="0" w:color="D6DADF"/>
              <w:right w:val="single" w:sz="4" w:space="0" w:color="D6DADF"/>
            </w:tcBorders>
            <w:shd w:val="clear" w:color="auto" w:fill="EDEFF2"/>
            <w:tcMar>
              <w:top w:w="70" w:type="dxa"/>
              <w:left w:w="70" w:type="dxa"/>
              <w:bottom w:w="70" w:type="dxa"/>
              <w:right w:w="70" w:type="dxa"/>
            </w:tcMar>
          </w:tcPr>
          <w:p w14:paraId="51692359" w14:textId="77777777" w:rsidR="003E34F2" w:rsidRDefault="003041CD">
            <w:pPr>
              <w:rPr>
                <w:lang w:val="de-DE"/>
              </w:rPr>
            </w:pPr>
            <w:r>
              <w:rPr>
                <w:b/>
                <w:lang w:val="de-DE"/>
              </w:rPr>
              <w:t>Vertretung / Weisungskanal / Eskalation</w:t>
            </w:r>
          </w:p>
        </w:tc>
      </w:tr>
      <w:tr w:rsidR="003E34F2" w:rsidRPr="005A03E1" w14:paraId="625FCD92" w14:textId="77777777">
        <w:trPr>
          <w:jc w:val="center"/>
        </w:trPr>
        <w:tc>
          <w:tcPr>
            <w:tcW w:w="1994"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01FFC7C9" w14:textId="41F9865C" w:rsidR="003E34F2" w:rsidRDefault="003041CD">
            <w:pPr>
              <w:rPr>
                <w:lang w:val="de-DE"/>
              </w:rPr>
            </w:pPr>
            <w:sdt>
              <w:sdtPr>
                <w:rPr>
                  <w:lang w:val="de-DE"/>
                </w:rPr>
                <w:id w:val="1900855990"/>
                <w:placeholder>
                  <w:docPart w:val="A84B6F9945D64F7AAC7969C928A0ADA7"/>
                </w:placeholder>
                <w:showingPlcHdr/>
              </w:sdtPr>
              <w:sdtEndPr/>
              <w:sdtContent>
                <w:r w:rsidR="005A03E1">
                  <w:rPr>
                    <w:lang w:val="de-DE"/>
                  </w:rPr>
                  <w:t>Funktion</w:t>
                </w:r>
              </w:sdtContent>
            </w:sdt>
          </w:p>
        </w:tc>
        <w:tc>
          <w:tcPr>
            <w:tcW w:w="1994"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4CA0127B" w14:textId="675F8C75" w:rsidR="003E34F2" w:rsidRDefault="003041CD">
            <w:pPr>
              <w:rPr>
                <w:lang w:val="de-DE"/>
              </w:rPr>
            </w:pPr>
            <w:sdt>
              <w:sdtPr>
                <w:rPr>
                  <w:lang w:val="de-DE"/>
                </w:rPr>
                <w:id w:val="-761523904"/>
                <w:placeholder>
                  <w:docPart w:val="03A256C2C28043D4AE166F345918C17E"/>
                </w:placeholder>
                <w:showingPlcHdr/>
              </w:sdtPr>
              <w:sdtEndPr/>
              <w:sdtContent>
                <w:r w:rsidR="005A03E1">
                  <w:rPr>
                    <w:lang w:val="de-DE"/>
                  </w:rPr>
                  <w:t>Name</w:t>
                </w:r>
              </w:sdtContent>
            </w:sdt>
          </w:p>
        </w:tc>
        <w:tc>
          <w:tcPr>
            <w:tcW w:w="1994"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33F1D5D3" w14:textId="31F1DF59" w:rsidR="003E34F2" w:rsidRDefault="003041CD">
            <w:pPr>
              <w:rPr>
                <w:lang w:val="de-DE"/>
              </w:rPr>
            </w:pPr>
            <w:sdt>
              <w:sdtPr>
                <w:rPr>
                  <w:lang w:val="de-DE"/>
                </w:rPr>
                <w:id w:val="519202026"/>
                <w:placeholder>
                  <w:docPart w:val="650AE918A9DA4F21A00C9F48EABCE935"/>
                </w:placeholder>
                <w:showingPlcHdr/>
              </w:sdtPr>
              <w:sdtEndPr/>
              <w:sdtContent>
                <w:r w:rsidR="005A03E1">
                  <w:rPr>
                    <w:lang w:val="de-DE"/>
                  </w:rPr>
                  <w:t>E-Mail</w:t>
                </w:r>
              </w:sdtContent>
            </w:sdt>
          </w:p>
        </w:tc>
        <w:tc>
          <w:tcPr>
            <w:tcW w:w="1994"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5FA4C1AA" w14:textId="044D9C56" w:rsidR="003E34F2" w:rsidRDefault="003041CD">
            <w:pPr>
              <w:rPr>
                <w:lang w:val="de-DE"/>
              </w:rPr>
            </w:pPr>
            <w:sdt>
              <w:sdtPr>
                <w:rPr>
                  <w:lang w:val="de-DE"/>
                </w:rPr>
                <w:id w:val="-1079363108"/>
                <w:placeholder>
                  <w:docPart w:val="73AF6AB487AB4D00BBA6F4A45F2A938D"/>
                </w:placeholder>
                <w:showingPlcHdr/>
              </w:sdtPr>
              <w:sdtEndPr/>
              <w:sdtContent>
                <w:r w:rsidR="005A03E1">
                  <w:rPr>
                    <w:lang w:val="de-DE"/>
                  </w:rPr>
                  <w:t>Telefon</w:t>
                </w:r>
              </w:sdtContent>
            </w:sdt>
          </w:p>
        </w:tc>
        <w:sdt>
          <w:sdtPr>
            <w:rPr>
              <w:lang w:val="de-DE"/>
            </w:rPr>
            <w:id w:val="-1438209887"/>
            <w:placeholder>
              <w:docPart w:val="39263052E65C4547AD26C1687AE1105F"/>
            </w:placeholder>
            <w:showingPlcHdr/>
          </w:sdtPr>
          <w:sdtEndPr/>
          <w:sdtContent>
            <w:tc>
              <w:tcPr>
                <w:tcW w:w="1994"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4EA67192" w14:textId="5F98FEEC" w:rsidR="003E34F2" w:rsidRDefault="005A03E1">
                <w:pPr>
                  <w:rPr>
                    <w:lang w:val="de-DE"/>
                  </w:rPr>
                </w:pPr>
                <w:r w:rsidRPr="005A03E1">
                  <w:rPr>
                    <w:lang w:val="de-DE"/>
                  </w:rPr>
                  <w:t>Vertretung; zulässiger Kanal; Eskalation</w:t>
                </w:r>
              </w:p>
            </w:tc>
          </w:sdtContent>
        </w:sdt>
      </w:tr>
    </w:tbl>
    <w:p w14:paraId="105E4A96" w14:textId="77777777" w:rsidR="003E34F2" w:rsidRDefault="003E34F2">
      <w:pPr>
        <w:rPr>
          <w:lang w:val="de-DE"/>
        </w:rPr>
      </w:pPr>
    </w:p>
    <w:p w14:paraId="0C60093A" w14:textId="77777777" w:rsidR="003E34F2" w:rsidRDefault="003041CD">
      <w:pPr>
        <w:rPr>
          <w:lang w:val="de-DE"/>
        </w:rPr>
      </w:pPr>
      <w:r>
        <w:rPr>
          <w:lang w:val="de-DE"/>
        </w:rPr>
        <w:t>(5) Unabhängig von den weisungsempfangsberechtigten Personen benennt der Auftragnehmer der Auftraggeberin einen Datenschutzkontakt. Ist der Auftragnehmer gesetzlich zur Benennung einer Datenschutzbeauftragten oder eines Datenschutzbeauftragten verpflichtet, teilt er deren oder dessen Kontaktdaten mit; andernfalls benennt er eine Ansprechperson für Datenschutz und Datensicherheit. Änderungen des Datenschutzkontakts sind der Auftraggeberin unverzüglich mitzuteilen.</w:t>
      </w:r>
    </w:p>
    <w:p w14:paraId="5B4EBA67" w14:textId="77777777" w:rsidR="003E34F2" w:rsidRDefault="003041CD">
      <w:pPr>
        <w:rPr>
          <w:lang w:val="de-DE"/>
        </w:rPr>
      </w:pPr>
      <w:r>
        <w:rPr>
          <w:lang w:val="de-DE"/>
        </w:rPr>
        <w:t>(6) Hält der Auftragnehmer eine Weisung für rechtswidrig oder in technischer oder organisatorischer Hinsicht für so risikobehaftet, dass ein Verstoß gegen Datenschutzvorschriften droht, weist er die Auftraggeberin unverzüglich unter Angabe der Gründe darauf hin. Er setzt die Durchführung der beanstandeten Weisung aus, soweit dies zur Vermeidung eines Datenschutzverstoßes erforderlich ist, bis die Auftraggeberin die Weisung bestätigt, ändert oder zurücknimmt; zwingende gesetzliche Pflichten des Auftragnehmer</w:t>
      </w:r>
      <w:r>
        <w:rPr>
          <w:lang w:val="de-DE"/>
        </w:rPr>
        <w:t>s bleiben unberührt. Maßnahmen zur Abwehr akuter Gefahren für Vertraulichkeit, Integrität oder Verfügbarkeit der personenbezogenen Daten bleiben zulässig.</w:t>
      </w:r>
    </w:p>
    <w:p w14:paraId="7651F46E" w14:textId="77777777" w:rsidR="003E34F2" w:rsidRDefault="003041CD">
      <w:pPr>
        <w:rPr>
          <w:lang w:val="de-DE"/>
        </w:rPr>
      </w:pPr>
      <w:r>
        <w:rPr>
          <w:lang w:val="de-DE"/>
        </w:rPr>
        <w:t>(7) Der Auftragnehmer darf die Befolgung einer Weisung nicht allein wegen eigener wirtschaftlicher Interessen verweigern. Erfordert eine Weisung eine wesentliche, bislang nicht vereinbarte Änderung der datenbezogenen Leistung, informieren sich die Parteien unverzüglich und treffen vor Beginn der geänderten Verarbeitung eine ergänzende Vereinbarung.</w:t>
      </w:r>
    </w:p>
    <w:p w14:paraId="411B1932" w14:textId="77777777" w:rsidR="003E34F2" w:rsidRDefault="003041CD">
      <w:pPr>
        <w:pStyle w:val="berschrift1"/>
        <w:rPr>
          <w:lang w:val="de-DE"/>
        </w:rPr>
      </w:pPr>
      <w:r>
        <w:rPr>
          <w:lang w:val="de-DE"/>
        </w:rPr>
        <w:t>6. Vertraulichkeit und eingesetzte Personen</w:t>
      </w:r>
    </w:p>
    <w:p w14:paraId="47A2691B" w14:textId="77777777" w:rsidR="003E34F2" w:rsidRDefault="003041CD">
      <w:pPr>
        <w:rPr>
          <w:lang w:val="de-DE"/>
        </w:rPr>
      </w:pPr>
      <w:r>
        <w:rPr>
          <w:lang w:val="de-DE"/>
        </w:rPr>
        <w:t>(1) Personen, die der Auftragnehmer zur Durchführung der von dieser Vereinbarung erfassten Auftragsverarbeitung einsetzt, dürfen erst tätig werden, wenn sie zur Vertraulichkeit verpflichtet wurden oder einer gesetzlichen Verschwiegenheitspflicht unterliegen, die den Schutz der verarbeiteten Daten gewährleistet. Die Vertraulichkeitspflicht gilt auch nach Beendigung der jeweiligen Tätigkeit fort.</w:t>
      </w:r>
    </w:p>
    <w:p w14:paraId="3CA717C3" w14:textId="77777777" w:rsidR="003E34F2" w:rsidRDefault="003041CD">
      <w:pPr>
        <w:rPr>
          <w:lang w:val="de-DE"/>
        </w:rPr>
      </w:pPr>
      <w:r>
        <w:rPr>
          <w:lang w:val="de-DE"/>
        </w:rPr>
        <w:t>(2) Der Auftragnehmer stellt sicher, dass jede von ihm eingesetzte Person mit Zugang zu personenbezogenen Daten diese Daten nur im Rahmen der dokumentierten Weisungen der Auftraggeberin verarbeitet, sofern nicht das Recht der Europäischen Union oder eines Mitgliedstaats eine Verarbeitung verlangt.</w:t>
      </w:r>
    </w:p>
    <w:p w14:paraId="71475D58" w14:textId="77777777" w:rsidR="003E34F2" w:rsidRDefault="003041CD">
      <w:pPr>
        <w:rPr>
          <w:lang w:val="de-DE"/>
        </w:rPr>
      </w:pPr>
      <w:r>
        <w:rPr>
          <w:lang w:val="de-DE"/>
        </w:rPr>
        <w:t>(3) Der Auftragnehmer schult oder unterweist die eingesetzten Personen regelmäßig in den für sie relevanten Datenschutz- und Sicherheitsanforderungen. Die Schulung oder Unterweisung umfasst insbesondere Weisungsbindung, Vertraulichkeit, den Umgang mit Sicherheitsvorfällen sowie Anforderungen an Homeoffice, mobile Arbeit und Fernzugriffe; bei entsprechendem Datenbezug umfasst sie auch den besonderen Umgang mit Forschungs-, Prüfungs-, Beschäftigten- und Gesundheitsdaten.</w:t>
      </w:r>
    </w:p>
    <w:p w14:paraId="59D4DA13" w14:textId="77777777" w:rsidR="003E34F2" w:rsidRDefault="003041CD">
      <w:pPr>
        <w:rPr>
          <w:lang w:val="de-DE"/>
        </w:rPr>
      </w:pPr>
      <w:r>
        <w:rPr>
          <w:lang w:val="de-DE"/>
        </w:rPr>
        <w:t>(4) Nachweise über Vertraulichkeitsverpflichtungen sowie Schulungen oder Unterweisungen legt der Auftragnehmer der Auftraggeberin auf Anforderung in geeigneter Form vor. Personenbezogene Daten eigener Beschäftigter dürfen geschwärzt oder durch zusammengefasste Nachweise ersetzt werden, soweit der Nachweiszweck dadurch erfüllt wird.</w:t>
      </w:r>
    </w:p>
    <w:p w14:paraId="55BEF453" w14:textId="77777777" w:rsidR="003E34F2" w:rsidRDefault="003041CD">
      <w:pPr>
        <w:pStyle w:val="berschrift1"/>
        <w:rPr>
          <w:lang w:val="de-DE"/>
        </w:rPr>
      </w:pPr>
      <w:r>
        <w:rPr>
          <w:lang w:val="de-DE"/>
        </w:rPr>
        <w:lastRenderedPageBreak/>
        <w:t>7. Technische und organisatorische Maßnahmen</w:t>
      </w:r>
    </w:p>
    <w:p w14:paraId="19B003CC" w14:textId="77777777" w:rsidR="003E34F2" w:rsidRDefault="003041CD">
      <w:pPr>
        <w:rPr>
          <w:lang w:val="de-DE"/>
        </w:rPr>
      </w:pPr>
      <w:r>
        <w:rPr>
          <w:lang w:val="de-DE"/>
        </w:rPr>
        <w:t>(1) Der Auftragnehmer setzt, sofern keine anderen Maßnahmen vereinbart werden, die nachstehenden technischen und organisatorischen Maßnahmen um und erhält sie während der Dauer der von dieser Vereinbarung erfassten Verarbeitung aufrecht. Die Maßnahmen stellen den verbindlichen Mindeststandard dar. Abweichungen sind nur zulässig, wenn sie das nach dieser Vereinbarung geschuldete oder aufgrund des Risikos erforderliche Schutzniveau nicht unterschreiten und mindestens gleichwertig dokumentiert werden. Daten mi</w:t>
      </w:r>
      <w:r>
        <w:rPr>
          <w:lang w:val="de-DE"/>
        </w:rPr>
        <w:t>t erhöhtem oder hohem Schutzbedarf im Sinne dieser Vereinbarung sind insbesondere besondere Kategorien personenbezogener Daten nach Artikel 9 DSGVO, Daten nach Artikel 10 DSGVO, Prüfungsdaten, Gesundheitsdaten, Forschungsdaten, Beschäftigtendaten sowie sonstige Daten, deren unbefugte Verarbeitung erhebliche Nachteile für betroffene Personen verursachen kann.</w:t>
      </w:r>
    </w:p>
    <w:p w14:paraId="108E7551" w14:textId="77777777" w:rsidR="003E34F2" w:rsidRDefault="003041CD">
      <w:pPr>
        <w:pStyle w:val="berschrift2"/>
        <w:ind w:left="720"/>
        <w:rPr>
          <w:lang w:val="de-DE"/>
        </w:rPr>
      </w:pPr>
      <w:r>
        <w:rPr>
          <w:lang w:val="de-DE"/>
        </w:rPr>
        <w:t>Technische Maßnahmen</w:t>
      </w:r>
    </w:p>
    <w:p w14:paraId="44374D7D" w14:textId="77777777" w:rsidR="003E34F2" w:rsidRDefault="003041CD">
      <w:pPr>
        <w:pStyle w:val="berschrift2"/>
        <w:ind w:left="720"/>
        <w:rPr>
          <w:lang w:val="de-DE"/>
        </w:rPr>
      </w:pPr>
      <w:r>
        <w:rPr>
          <w:lang w:val="de-DE"/>
        </w:rPr>
        <w:t>1.1 Verschlüsselung</w:t>
      </w:r>
    </w:p>
    <w:p w14:paraId="18A47C92" w14:textId="77777777" w:rsidR="003E34F2" w:rsidRDefault="003041CD">
      <w:pPr>
        <w:pStyle w:val="TOMBullet"/>
        <w:ind w:left="1032"/>
        <w:rPr>
          <w:lang w:val="de-DE"/>
        </w:rPr>
      </w:pPr>
      <w:r>
        <w:rPr>
          <w:b/>
          <w:lang w:val="de-DE"/>
        </w:rPr>
        <w:t>• Datenverschlüsselung:</w:t>
      </w:r>
      <w:r>
        <w:rPr>
          <w:lang w:val="de-DE"/>
        </w:rPr>
        <w:t xml:space="preserve"> Daten mit erhöhtem oder hohem Schutzbedarf werden sowohl bei der Übertragung als auch bei der Speicherung mit starken Verschlüsselungsverfahren geschützt, insbesondere mit AES-256 oder einem gleichwertigen Verfahren.</w:t>
      </w:r>
    </w:p>
    <w:p w14:paraId="794B9D71" w14:textId="77777777" w:rsidR="003E34F2" w:rsidRDefault="003041CD">
      <w:pPr>
        <w:pStyle w:val="TOMBullet"/>
        <w:ind w:left="1032"/>
        <w:rPr>
          <w:lang w:val="de-DE"/>
        </w:rPr>
      </w:pPr>
      <w:r>
        <w:rPr>
          <w:b/>
          <w:lang w:val="de-DE"/>
        </w:rPr>
        <w:t>• Schlüsselverwaltung:</w:t>
      </w:r>
      <w:r>
        <w:rPr>
          <w:lang w:val="de-DE"/>
        </w:rPr>
        <w:t xml:space="preserve"> Verschlüsselungsschlüssel werden sicher gespeichert, verwaltet und geschützt. Sie dürfen nur Personen zugänglich sein, die hierfür berechtigt sind.</w:t>
      </w:r>
    </w:p>
    <w:p w14:paraId="64E3DEED" w14:textId="77777777" w:rsidR="003E34F2" w:rsidRDefault="003041CD">
      <w:pPr>
        <w:pStyle w:val="berschrift2"/>
        <w:ind w:left="720"/>
        <w:rPr>
          <w:lang w:val="de-DE"/>
        </w:rPr>
      </w:pPr>
      <w:r>
        <w:rPr>
          <w:lang w:val="de-DE"/>
        </w:rPr>
        <w:t>1.2 Transportverschlüsselung</w:t>
      </w:r>
    </w:p>
    <w:p w14:paraId="14EC1313" w14:textId="77777777" w:rsidR="003E34F2" w:rsidRDefault="003041CD">
      <w:pPr>
        <w:pStyle w:val="TOMBullet"/>
        <w:ind w:left="1032"/>
        <w:rPr>
          <w:lang w:val="de-DE"/>
        </w:rPr>
      </w:pPr>
      <w:r>
        <w:rPr>
          <w:b/>
          <w:lang w:val="de-DE"/>
        </w:rPr>
        <w:t>• Transport Layer Security:</w:t>
      </w:r>
      <w:r>
        <w:rPr>
          <w:lang w:val="de-DE"/>
        </w:rPr>
        <w:t xml:space="preserve"> Datenübertragungen werden mindestens durch Transport Layer Security (TLS) in einer aktuellen Version geschützt. TLS 1.2 darf nur eingesetzt werden, wenn ein dem Risiko angemessenes Schutzniveau nachweislich gewahrt bleibt; die Darlegungs- und Nachweispflicht trägt der Auftragnehmer.</w:t>
      </w:r>
    </w:p>
    <w:p w14:paraId="3FA485BC" w14:textId="77777777" w:rsidR="003E34F2" w:rsidRDefault="003041CD">
      <w:pPr>
        <w:pStyle w:val="TOMBullet"/>
        <w:ind w:left="1032"/>
        <w:rPr>
          <w:lang w:val="de-DE"/>
        </w:rPr>
      </w:pPr>
      <w:r>
        <w:rPr>
          <w:b/>
          <w:lang w:val="de-DE"/>
        </w:rPr>
        <w:t>• Virtual Private Network:</w:t>
      </w:r>
      <w:r>
        <w:rPr>
          <w:lang w:val="de-DE"/>
        </w:rPr>
        <w:t xml:space="preserve"> Bei der Übertragung über unsichere Netzwerke setzt der Auftragnehmer ein Virtual Private Network (VPN) oder ein gleichwertiges gesichertes Verfahren ein.</w:t>
      </w:r>
    </w:p>
    <w:p w14:paraId="25AB623A" w14:textId="77777777" w:rsidR="003E34F2" w:rsidRDefault="003041CD">
      <w:pPr>
        <w:pStyle w:val="TOMBullet"/>
        <w:ind w:left="1032"/>
        <w:rPr>
          <w:lang w:val="de-DE"/>
        </w:rPr>
      </w:pPr>
      <w:r>
        <w:rPr>
          <w:b/>
          <w:lang w:val="de-DE"/>
        </w:rPr>
        <w:t>• Ende-zu-Ende-Verschlüsselung:</w:t>
      </w:r>
      <w:r>
        <w:rPr>
          <w:lang w:val="de-DE"/>
        </w:rPr>
        <w:t xml:space="preserve"> Bei Daten mit erhöhtem oder hohem Schutzbedarf ist eine Ende-zu-Ende-Verschlüsselung einzusetzen, soweit dies nach Art, Zweck und technischer Ausgestaltung der Verarbeitung möglich und dem Risiko angemessen ist.</w:t>
      </w:r>
    </w:p>
    <w:p w14:paraId="3AE4183F" w14:textId="77777777" w:rsidR="003E34F2" w:rsidRDefault="003041CD">
      <w:pPr>
        <w:pStyle w:val="TOMBullet"/>
        <w:ind w:left="1032"/>
        <w:rPr>
          <w:lang w:val="de-DE"/>
        </w:rPr>
      </w:pPr>
      <w:r>
        <w:rPr>
          <w:b/>
          <w:lang w:val="de-DE"/>
        </w:rPr>
        <w:t>• E-Mail-Verschlüsselung:</w:t>
      </w:r>
      <w:r>
        <w:rPr>
          <w:lang w:val="de-DE"/>
        </w:rPr>
        <w:t xml:space="preserve"> E-Mails, die Daten mit erhöhtem oder hohem Schutzbedarf enthalten, werden mit S/MIME, PGP oder einem gleichwertigen Verfahren verschlüsselt.</w:t>
      </w:r>
    </w:p>
    <w:p w14:paraId="5B83062C" w14:textId="77777777" w:rsidR="003E34F2" w:rsidRDefault="003041CD">
      <w:pPr>
        <w:pStyle w:val="berschrift2"/>
        <w:ind w:left="720"/>
        <w:rPr>
          <w:lang w:val="de-DE"/>
        </w:rPr>
      </w:pPr>
      <w:r>
        <w:rPr>
          <w:lang w:val="de-DE"/>
        </w:rPr>
        <w:t>1.3 Zutrittskontrolle</w:t>
      </w:r>
    </w:p>
    <w:p w14:paraId="4C90A54B" w14:textId="77777777" w:rsidR="003E34F2" w:rsidRDefault="003041CD">
      <w:pPr>
        <w:pStyle w:val="TOMBullet"/>
        <w:ind w:left="1032"/>
        <w:rPr>
          <w:lang w:val="de-DE"/>
        </w:rPr>
      </w:pPr>
      <w:r>
        <w:rPr>
          <w:b/>
          <w:lang w:val="de-DE"/>
        </w:rPr>
        <w:t>• Räumliche Sicherung:</w:t>
      </w:r>
      <w:r>
        <w:rPr>
          <w:lang w:val="de-DE"/>
        </w:rPr>
        <w:t xml:space="preserve"> Räume, in denen Daten mit erhöhtem oder hohem Schutzbedarf im Rahmen dieser Vereinbarung verarbeitet werden, werden durch angemessene physische Zutrittskontrollen geschützt, insbesondere durch elektronische Zugangssysteme, Sicherheitspersonal, Videoüberwachung oder gleichwertige Maßnahmen.</w:t>
      </w:r>
    </w:p>
    <w:p w14:paraId="642209E2" w14:textId="77777777" w:rsidR="003E34F2" w:rsidRDefault="003041CD">
      <w:pPr>
        <w:pStyle w:val="TOMBullet"/>
        <w:ind w:left="1032"/>
        <w:rPr>
          <w:lang w:val="de-DE"/>
        </w:rPr>
      </w:pPr>
      <w:r>
        <w:rPr>
          <w:b/>
          <w:lang w:val="de-DE"/>
        </w:rPr>
        <w:t>• Protokollierung:</w:t>
      </w:r>
      <w:r>
        <w:rPr>
          <w:lang w:val="de-DE"/>
        </w:rPr>
        <w:t xml:space="preserve"> Zutrittsaktivitäten werden angemessen protokolliert, soweit dies nach Art, Umfang und Schutzbedarf der Verarbeitung erforderlich ist.</w:t>
      </w:r>
    </w:p>
    <w:p w14:paraId="08E20290" w14:textId="77777777" w:rsidR="003E34F2" w:rsidRDefault="003041CD">
      <w:pPr>
        <w:pStyle w:val="berschrift2"/>
        <w:ind w:left="720"/>
        <w:rPr>
          <w:lang w:val="de-DE"/>
        </w:rPr>
      </w:pPr>
      <w:r>
        <w:rPr>
          <w:lang w:val="de-DE"/>
        </w:rPr>
        <w:t>1.4 Zugangskontrolle</w:t>
      </w:r>
    </w:p>
    <w:p w14:paraId="61891185" w14:textId="77777777" w:rsidR="003E34F2" w:rsidRDefault="003041CD">
      <w:pPr>
        <w:pStyle w:val="TOMBullet"/>
        <w:ind w:left="1032"/>
        <w:rPr>
          <w:lang w:val="de-DE"/>
        </w:rPr>
      </w:pPr>
      <w:r>
        <w:rPr>
          <w:b/>
          <w:lang w:val="de-DE"/>
        </w:rPr>
        <w:t>• Mehr-Faktor-Authentifizierung:</w:t>
      </w:r>
      <w:r>
        <w:rPr>
          <w:lang w:val="de-DE"/>
        </w:rPr>
        <w:t xml:space="preserve"> Für den Zugang zu Daten mit erhöhtem oder hohem Schutzbedarf sowie zu zentralen Rechnerstrukturen wird Mehr-Faktor-Authentifizierung mit mindestens zwei voneinander unabhängigen Faktoren eingesetzt. Eine Authentifizierung nur mit Benutzername und Passwort genügt hierfür nicht, soweit nicht im Einzelfall ein nachweislich gleichwertiges Sicherungsverfahren eingesetzt wird.</w:t>
      </w:r>
    </w:p>
    <w:p w14:paraId="627218E5" w14:textId="77777777" w:rsidR="003E34F2" w:rsidRDefault="003041CD">
      <w:pPr>
        <w:pStyle w:val="TOMBullet"/>
        <w:ind w:left="1032"/>
        <w:rPr>
          <w:lang w:val="de-DE"/>
        </w:rPr>
      </w:pPr>
      <w:r>
        <w:rPr>
          <w:b/>
          <w:lang w:val="de-DE"/>
        </w:rPr>
        <w:t>• Berechtigungen:</w:t>
      </w:r>
      <w:r>
        <w:rPr>
          <w:lang w:val="de-DE"/>
        </w:rPr>
        <w:t xml:space="preserve"> Rollenbasierte Berechtigungen stellen sicher, dass nur autorisierte Personen Zugang zu personenbezogenen Daten erhalten.</w:t>
      </w:r>
    </w:p>
    <w:p w14:paraId="4E31F384" w14:textId="77777777" w:rsidR="003E34F2" w:rsidRDefault="003041CD">
      <w:pPr>
        <w:pStyle w:val="TOMBullet"/>
        <w:ind w:left="1032"/>
        <w:rPr>
          <w:lang w:val="de-DE"/>
        </w:rPr>
      </w:pPr>
      <w:r>
        <w:rPr>
          <w:b/>
          <w:lang w:val="de-DE"/>
        </w:rPr>
        <w:lastRenderedPageBreak/>
        <w:t>• Rezertifizierung:</w:t>
      </w:r>
      <w:r>
        <w:rPr>
          <w:lang w:val="de-DE"/>
        </w:rPr>
        <w:t xml:space="preserve"> Benutzerrechte werden regelmäßig überprüft, aktualisiert und bei Wegfall der Erforderlichkeit entzogen.</w:t>
      </w:r>
    </w:p>
    <w:p w14:paraId="6D57DF20" w14:textId="77777777" w:rsidR="003E34F2" w:rsidRDefault="003041CD">
      <w:pPr>
        <w:pStyle w:val="TOMBullet"/>
        <w:ind w:left="1032"/>
        <w:rPr>
          <w:lang w:val="de-DE"/>
        </w:rPr>
      </w:pPr>
      <w:r>
        <w:rPr>
          <w:b/>
          <w:lang w:val="de-DE"/>
        </w:rPr>
        <w:t>• Schutzprogramme:</w:t>
      </w:r>
      <w:r>
        <w:rPr>
          <w:lang w:val="de-DE"/>
        </w:rPr>
        <w:t xml:space="preserve"> Schutzprogramme wie Virenscanner, Firewalls, Verschlüsselungsprogramme und Spam-Filter werden sachkundig eingesetzt und aktuell gehalten.</w:t>
      </w:r>
    </w:p>
    <w:p w14:paraId="5F17B619" w14:textId="77777777" w:rsidR="003E34F2" w:rsidRDefault="003041CD">
      <w:pPr>
        <w:pStyle w:val="berschrift2"/>
        <w:ind w:left="720"/>
        <w:rPr>
          <w:lang w:val="de-DE"/>
        </w:rPr>
      </w:pPr>
      <w:r>
        <w:rPr>
          <w:lang w:val="de-DE"/>
        </w:rPr>
        <w:t>1.5 Zugriffskontrolle</w:t>
      </w:r>
    </w:p>
    <w:p w14:paraId="2BB1D771" w14:textId="77777777" w:rsidR="003E34F2" w:rsidRDefault="003041CD">
      <w:pPr>
        <w:pStyle w:val="TOMBullet"/>
        <w:ind w:left="1032"/>
        <w:rPr>
          <w:lang w:val="de-DE"/>
        </w:rPr>
      </w:pPr>
      <w:r>
        <w:rPr>
          <w:b/>
          <w:lang w:val="de-DE"/>
        </w:rPr>
        <w:t>• Überwachung:</w:t>
      </w:r>
      <w:r>
        <w:rPr>
          <w:lang w:val="de-DE"/>
        </w:rPr>
        <w:t xml:space="preserve"> Zugriffe auf Daten mit erhöhtem oder hohem Schutzbedarf werden durch geeignete Mechanismen protokolliert und überwacht.</w:t>
      </w:r>
    </w:p>
    <w:p w14:paraId="60A2D547" w14:textId="77777777" w:rsidR="003E34F2" w:rsidRDefault="003041CD">
      <w:pPr>
        <w:pStyle w:val="berschrift2"/>
        <w:ind w:left="720"/>
        <w:rPr>
          <w:lang w:val="de-DE"/>
        </w:rPr>
      </w:pPr>
      <w:r>
        <w:rPr>
          <w:lang w:val="de-DE"/>
        </w:rPr>
        <w:t>1.6 Trennungskontrolle</w:t>
      </w:r>
    </w:p>
    <w:p w14:paraId="61DCECB7" w14:textId="77777777" w:rsidR="003E34F2" w:rsidRDefault="003041CD">
      <w:pPr>
        <w:pStyle w:val="TOMBullet"/>
        <w:ind w:left="1032"/>
        <w:rPr>
          <w:lang w:val="de-DE"/>
        </w:rPr>
      </w:pPr>
      <w:r>
        <w:rPr>
          <w:b/>
          <w:lang w:val="de-DE"/>
        </w:rPr>
        <w:t>• Mandantentrennung:</w:t>
      </w:r>
      <w:r>
        <w:rPr>
          <w:lang w:val="de-DE"/>
        </w:rPr>
        <w:t xml:space="preserve"> Einzelne Mandanten werden wirksam physisch oder logisch voneinander getrennt.</w:t>
      </w:r>
    </w:p>
    <w:p w14:paraId="73722635" w14:textId="77777777" w:rsidR="003E34F2" w:rsidRDefault="003041CD">
      <w:pPr>
        <w:pStyle w:val="TOMBullet"/>
        <w:ind w:left="1032"/>
        <w:rPr>
          <w:lang w:val="de-DE"/>
        </w:rPr>
      </w:pPr>
      <w:r>
        <w:rPr>
          <w:b/>
          <w:lang w:val="de-DE"/>
        </w:rPr>
        <w:t>• Datentrennung:</w:t>
      </w:r>
      <w:r>
        <w:rPr>
          <w:lang w:val="de-DE"/>
        </w:rPr>
        <w:t xml:space="preserve"> Daten, auf die sich diese Vereinbarung bezieht, werden physisch oder logisch von anderen Daten getrennt gespeichert.</w:t>
      </w:r>
    </w:p>
    <w:p w14:paraId="7D30B783" w14:textId="77777777" w:rsidR="003E34F2" w:rsidRDefault="003041CD">
      <w:pPr>
        <w:pStyle w:val="TOMBullet"/>
        <w:ind w:left="1032"/>
        <w:rPr>
          <w:lang w:val="de-DE"/>
        </w:rPr>
      </w:pPr>
      <w:r>
        <w:rPr>
          <w:b/>
          <w:lang w:val="de-DE"/>
        </w:rPr>
        <w:t>• Sicherungstrennung:</w:t>
      </w:r>
      <w:r>
        <w:rPr>
          <w:lang w:val="de-DE"/>
        </w:rPr>
        <w:t xml:space="preserve"> Datensicherungen werden ebenfalls auf logisch oder physisch getrennten Systemen geführt.</w:t>
      </w:r>
    </w:p>
    <w:p w14:paraId="50FD0AF5" w14:textId="77777777" w:rsidR="003E34F2" w:rsidRDefault="003041CD">
      <w:pPr>
        <w:pStyle w:val="berschrift2"/>
        <w:ind w:left="720"/>
        <w:rPr>
          <w:lang w:val="de-DE"/>
        </w:rPr>
      </w:pPr>
      <w:r>
        <w:rPr>
          <w:lang w:val="de-DE"/>
        </w:rPr>
        <w:t>1.7 Datensicherung</w:t>
      </w:r>
    </w:p>
    <w:p w14:paraId="169A4846" w14:textId="77777777" w:rsidR="003E34F2" w:rsidRDefault="003041CD">
      <w:pPr>
        <w:pStyle w:val="TOMBullet"/>
        <w:ind w:left="1032"/>
        <w:rPr>
          <w:lang w:val="de-DE"/>
        </w:rPr>
      </w:pPr>
      <w:r>
        <w:rPr>
          <w:b/>
          <w:lang w:val="de-DE"/>
        </w:rPr>
        <w:t>• Backups:</w:t>
      </w:r>
      <w:r>
        <w:rPr>
          <w:lang w:val="de-DE"/>
        </w:rPr>
        <w:t xml:space="preserve"> Der Auftragnehmer erstellt regelmäßige, automatisierte Datensicherungen.</w:t>
      </w:r>
    </w:p>
    <w:p w14:paraId="37D37527" w14:textId="77777777" w:rsidR="003E34F2" w:rsidRDefault="003041CD">
      <w:pPr>
        <w:pStyle w:val="TOMBullet"/>
        <w:ind w:left="1032"/>
        <w:rPr>
          <w:lang w:val="de-DE"/>
        </w:rPr>
      </w:pPr>
      <w:r>
        <w:rPr>
          <w:b/>
          <w:lang w:val="de-DE"/>
        </w:rPr>
        <w:t>• Wiederherstellung:</w:t>
      </w:r>
      <w:r>
        <w:rPr>
          <w:lang w:val="de-DE"/>
        </w:rPr>
        <w:t xml:space="preserve"> Ein Backup- und Wiederherstellungskonzept ist vorhanden und wird regelmäßig getestet.</w:t>
      </w:r>
    </w:p>
    <w:p w14:paraId="46423D32" w14:textId="77777777" w:rsidR="003E34F2" w:rsidRDefault="003041CD">
      <w:pPr>
        <w:pStyle w:val="TOMBullet"/>
        <w:ind w:left="1032"/>
        <w:rPr>
          <w:lang w:val="de-DE"/>
        </w:rPr>
      </w:pPr>
      <w:r>
        <w:rPr>
          <w:b/>
          <w:lang w:val="de-DE"/>
        </w:rPr>
        <w:t>• Sichere Speicherung:</w:t>
      </w:r>
      <w:r>
        <w:rPr>
          <w:lang w:val="de-DE"/>
        </w:rPr>
        <w:t xml:space="preserve"> Backups werden verschlüsselt, vor unbefugtem Zugriff geschützt und sicher gespeichert.</w:t>
      </w:r>
    </w:p>
    <w:p w14:paraId="763293CF" w14:textId="77777777" w:rsidR="003E34F2" w:rsidRDefault="003041CD">
      <w:pPr>
        <w:pStyle w:val="berschrift2"/>
        <w:ind w:left="720"/>
        <w:rPr>
          <w:lang w:val="de-DE"/>
        </w:rPr>
      </w:pPr>
      <w:r>
        <w:rPr>
          <w:lang w:val="de-DE"/>
        </w:rPr>
        <w:t>1.8 Standards für Rechenzentren</w:t>
      </w:r>
    </w:p>
    <w:p w14:paraId="0D5D5494" w14:textId="77777777" w:rsidR="003E34F2" w:rsidRDefault="003041CD">
      <w:pPr>
        <w:pStyle w:val="TOMBullet"/>
        <w:ind w:left="1032"/>
        <w:rPr>
          <w:lang w:val="de-DE"/>
        </w:rPr>
      </w:pPr>
      <w:r>
        <w:rPr>
          <w:b/>
          <w:lang w:val="de-DE"/>
        </w:rPr>
        <w:t>• Informationssicherheit:</w:t>
      </w:r>
      <w:r>
        <w:rPr>
          <w:lang w:val="de-DE"/>
        </w:rPr>
        <w:t xml:space="preserve"> Rechenzentren, in denen personenbezogene Daten im Rahmen dieser Vereinbarung verarbeitet werden, erfüllen die Anforderungen der ISO/IEC 27001 oder ein nachweislich gleichwertiges Sicherheitsniveau.</w:t>
      </w:r>
    </w:p>
    <w:p w14:paraId="5082664A" w14:textId="77777777" w:rsidR="003E34F2" w:rsidRDefault="003041CD">
      <w:pPr>
        <w:pStyle w:val="TOMBullet"/>
        <w:ind w:left="1032"/>
        <w:rPr>
          <w:lang w:val="de-DE"/>
        </w:rPr>
      </w:pPr>
      <w:r>
        <w:rPr>
          <w:b/>
          <w:lang w:val="de-DE"/>
        </w:rPr>
        <w:t>• Datenschutzmanagement:</w:t>
      </w:r>
      <w:r>
        <w:rPr>
          <w:lang w:val="de-DE"/>
        </w:rPr>
        <w:t xml:space="preserve"> Soweit Art und Umfang der Verarbeitung dies erfordern, erfüllt das Datenschutzmanagement des Rechenzentrums die Anforderungen der ISO/IEC 27701 oder ein nachweislich gleichwertiges Niveau.</w:t>
      </w:r>
    </w:p>
    <w:p w14:paraId="359B0B63" w14:textId="77777777" w:rsidR="003E34F2" w:rsidRDefault="003041CD">
      <w:pPr>
        <w:pStyle w:val="TOMBullet"/>
        <w:ind w:left="1032"/>
        <w:rPr>
          <w:lang w:val="de-DE"/>
        </w:rPr>
      </w:pPr>
      <w:r>
        <w:rPr>
          <w:b/>
          <w:lang w:val="de-DE"/>
        </w:rPr>
        <w:t>• Cloud-Dienste:</w:t>
      </w:r>
      <w:r>
        <w:rPr>
          <w:lang w:val="de-DE"/>
        </w:rPr>
        <w:t xml:space="preserve"> Bei Cloud-Diensten hält der Auftragnehmer ein C5-Testat oder einen nachweislich gleichwertigen Nachweis vor, soweit dies nach Art und Schutzbedarf der Verarbeitung angemessen oder erforderlich ist.</w:t>
      </w:r>
    </w:p>
    <w:p w14:paraId="18109B07" w14:textId="77777777" w:rsidR="003E34F2" w:rsidRDefault="003041CD">
      <w:pPr>
        <w:pStyle w:val="TOMBullet"/>
        <w:ind w:left="1032"/>
        <w:rPr>
          <w:lang w:val="de-DE"/>
        </w:rPr>
      </w:pPr>
      <w:r>
        <w:rPr>
          <w:b/>
          <w:lang w:val="de-DE"/>
        </w:rPr>
        <w:t>• Physische Sicherheit:</w:t>
      </w:r>
      <w:r>
        <w:rPr>
          <w:lang w:val="de-DE"/>
        </w:rPr>
        <w:t xml:space="preserve"> Angemessene physische Sicherheitsmaßnahmen wie Zugangskontrollen, Videoüberwachung und Brandschutzsysteme sind implementiert.</w:t>
      </w:r>
    </w:p>
    <w:p w14:paraId="501808A6" w14:textId="77777777" w:rsidR="003E34F2" w:rsidRDefault="003041CD">
      <w:pPr>
        <w:pStyle w:val="berschrift2"/>
        <w:ind w:left="720"/>
        <w:rPr>
          <w:lang w:val="de-DE"/>
        </w:rPr>
      </w:pPr>
      <w:r>
        <w:rPr>
          <w:lang w:val="de-DE"/>
        </w:rPr>
        <w:t>Organisatorische Maßnahmen</w:t>
      </w:r>
    </w:p>
    <w:p w14:paraId="4510AF7B" w14:textId="77777777" w:rsidR="003E34F2" w:rsidRDefault="003041CD">
      <w:pPr>
        <w:pStyle w:val="berschrift2"/>
        <w:ind w:left="720"/>
        <w:rPr>
          <w:lang w:val="de-DE"/>
        </w:rPr>
      </w:pPr>
      <w:r>
        <w:rPr>
          <w:lang w:val="de-DE"/>
        </w:rPr>
        <w:t>2.1 Schulung und Sensibilisierung</w:t>
      </w:r>
    </w:p>
    <w:p w14:paraId="2C28E018" w14:textId="77777777" w:rsidR="003E34F2" w:rsidRDefault="003041CD">
      <w:pPr>
        <w:pStyle w:val="TOMBullet"/>
        <w:ind w:left="1032"/>
        <w:rPr>
          <w:lang w:val="de-DE"/>
        </w:rPr>
      </w:pPr>
      <w:r>
        <w:rPr>
          <w:b/>
          <w:lang w:val="de-DE"/>
        </w:rPr>
        <w:t>• Schulung:</w:t>
      </w:r>
      <w:r>
        <w:rPr>
          <w:lang w:val="de-DE"/>
        </w:rPr>
        <w:t xml:space="preserve"> Personen, die der Auftragnehmer zur Durchführung der von dieser Vereinbarung erfassten Auftragsverarbeitung einsetzt, werden regelmäßig in den hierfür relevanten Datenschutz- und Sicherheitsanforderungen geschult oder unterwiesen. Dies gilt insbesondere, soweit sie Daten mit erhöhtem oder hohem Schutzbedarf verarbeiten oder auf solche Daten zugreifen können.</w:t>
      </w:r>
    </w:p>
    <w:p w14:paraId="3729CD77" w14:textId="77777777" w:rsidR="003E34F2" w:rsidRDefault="003041CD">
      <w:pPr>
        <w:pStyle w:val="TOMBullet"/>
        <w:ind w:left="1032"/>
        <w:rPr>
          <w:lang w:val="de-DE"/>
        </w:rPr>
      </w:pPr>
      <w:r>
        <w:rPr>
          <w:b/>
          <w:lang w:val="de-DE"/>
        </w:rPr>
        <w:t>• Dokumentation:</w:t>
      </w:r>
      <w:r>
        <w:rPr>
          <w:lang w:val="de-DE"/>
        </w:rPr>
        <w:t xml:space="preserve"> Die Teilnahme an Schulungen oder Unterweisungen wird dokumentiert und nachvollziehbar festgehalten.</w:t>
      </w:r>
    </w:p>
    <w:p w14:paraId="59BC126A" w14:textId="77777777" w:rsidR="003E34F2" w:rsidRDefault="003041CD">
      <w:pPr>
        <w:pStyle w:val="berschrift2"/>
        <w:ind w:left="720"/>
        <w:rPr>
          <w:lang w:val="de-DE"/>
        </w:rPr>
      </w:pPr>
      <w:r>
        <w:rPr>
          <w:lang w:val="de-DE"/>
        </w:rPr>
        <w:t>2.2 Vertraulichkeitserklärungen</w:t>
      </w:r>
    </w:p>
    <w:p w14:paraId="1F1B5197" w14:textId="77777777" w:rsidR="003E34F2" w:rsidRDefault="003041CD">
      <w:pPr>
        <w:pStyle w:val="TOMBullet"/>
        <w:ind w:left="1032"/>
        <w:rPr>
          <w:lang w:val="de-DE"/>
        </w:rPr>
      </w:pPr>
      <w:r>
        <w:rPr>
          <w:b/>
          <w:lang w:val="de-DE"/>
        </w:rPr>
        <w:t>• Verpflichtung:</w:t>
      </w:r>
      <w:r>
        <w:rPr>
          <w:lang w:val="de-DE"/>
        </w:rPr>
        <w:t xml:space="preserve"> Personen, die der Auftragnehmer zur Durchführung der von dieser Vereinbarung erfassten Auftragsverarbeitung einsetzt und </w:t>
      </w:r>
      <w:proofErr w:type="gramStart"/>
      <w:r>
        <w:rPr>
          <w:lang w:val="de-DE"/>
        </w:rPr>
        <w:t>die Zugang</w:t>
      </w:r>
      <w:proofErr w:type="gramEnd"/>
      <w:r>
        <w:rPr>
          <w:lang w:val="de-DE"/>
        </w:rPr>
        <w:t xml:space="preserve"> zu Daten mit erhöhtem oder hohem Schutzbedarf erhalten können, sind vor Aufnahme ihrer Tätigkeit zur Vertraulichkeit </w:t>
      </w:r>
      <w:r>
        <w:rPr>
          <w:lang w:val="de-DE"/>
        </w:rPr>
        <w:lastRenderedPageBreak/>
        <w:t>zu verpflichten. Soweit einschlägig, werden Pflichten nach § 203 Strafgesetzbuch ausdrücklich berücksichtigt.</w:t>
      </w:r>
    </w:p>
    <w:p w14:paraId="7615C29A" w14:textId="77777777" w:rsidR="003E34F2" w:rsidRDefault="003041CD">
      <w:pPr>
        <w:pStyle w:val="berschrift2"/>
        <w:ind w:left="720"/>
        <w:rPr>
          <w:lang w:val="de-DE"/>
        </w:rPr>
      </w:pPr>
      <w:r>
        <w:rPr>
          <w:lang w:val="de-DE"/>
        </w:rPr>
        <w:t>2.3 Datenschutzmanagement</w:t>
      </w:r>
    </w:p>
    <w:p w14:paraId="3BD7895A" w14:textId="77777777" w:rsidR="003E34F2" w:rsidRDefault="003041CD">
      <w:pPr>
        <w:pStyle w:val="TOMBullet"/>
        <w:ind w:left="1032"/>
        <w:rPr>
          <w:lang w:val="de-DE"/>
        </w:rPr>
      </w:pPr>
      <w:r>
        <w:rPr>
          <w:b/>
          <w:lang w:val="de-DE"/>
        </w:rPr>
        <w:t>• Datenschutzbeauftragte oder Datenschutzbeauftragter; Kontaktperson:</w:t>
      </w:r>
      <w:r>
        <w:rPr>
          <w:lang w:val="de-DE"/>
        </w:rPr>
        <w:t xml:space="preserve"> Soweit gesetzlich erforderlich, ist eine Datenschutzbeauftragte oder ein Datenschutzbeauftragter benannt. Andernfalls besteht eine zuständige Kontaktperson für Datenschutz und Informationssicherheit.</w:t>
      </w:r>
    </w:p>
    <w:p w14:paraId="56BD21D4" w14:textId="77777777" w:rsidR="003E34F2" w:rsidRDefault="003041CD">
      <w:pPr>
        <w:pStyle w:val="TOMBullet"/>
        <w:ind w:left="1032"/>
        <w:rPr>
          <w:lang w:val="de-DE"/>
        </w:rPr>
      </w:pPr>
      <w:r>
        <w:rPr>
          <w:b/>
          <w:lang w:val="de-DE"/>
        </w:rPr>
        <w:t>• Prüfungen und Risiken:</w:t>
      </w:r>
      <w:r>
        <w:rPr>
          <w:lang w:val="de-DE"/>
        </w:rPr>
        <w:t xml:space="preserve"> Der Auftragnehmer führt regelmäßige Datenschutzprüfungen und Risikoanalysen durch.</w:t>
      </w:r>
    </w:p>
    <w:p w14:paraId="30C79D94" w14:textId="77777777" w:rsidR="003E34F2" w:rsidRDefault="003041CD">
      <w:pPr>
        <w:pStyle w:val="TOMBullet"/>
        <w:ind w:left="1032"/>
        <w:rPr>
          <w:lang w:val="de-DE"/>
        </w:rPr>
      </w:pPr>
      <w:r>
        <w:rPr>
          <w:b/>
          <w:lang w:val="de-DE"/>
        </w:rPr>
        <w:t>• Richtlinien:</w:t>
      </w:r>
      <w:r>
        <w:rPr>
          <w:lang w:val="de-DE"/>
        </w:rPr>
        <w:t xml:space="preserve"> Ein Datenschutzmanagement und die für den Auftrag erforderlichen Richtlinien der Informationssicherheit sind vorhanden.</w:t>
      </w:r>
    </w:p>
    <w:p w14:paraId="74F50F41" w14:textId="77777777" w:rsidR="003E34F2" w:rsidRDefault="003041CD">
      <w:pPr>
        <w:pStyle w:val="TOMBullet"/>
        <w:ind w:left="1032"/>
        <w:rPr>
          <w:lang w:val="de-DE"/>
        </w:rPr>
      </w:pPr>
      <w:r>
        <w:rPr>
          <w:b/>
          <w:lang w:val="de-DE"/>
        </w:rPr>
        <w:t>• Datenschutz durch Technikgestaltung:</w:t>
      </w:r>
      <w:r>
        <w:rPr>
          <w:lang w:val="de-DE"/>
        </w:rPr>
        <w:t xml:space="preserve"> Der Auftragnehmer berücksichtigt Datenschutz durch Technikgestaltung und datenschutzfreundliche Voreinstellungen, soweit dies nach Art und Zweck der Verarbeitung einschlägig ist.</w:t>
      </w:r>
    </w:p>
    <w:p w14:paraId="78571E4E" w14:textId="77777777" w:rsidR="003E34F2" w:rsidRDefault="003041CD">
      <w:pPr>
        <w:pStyle w:val="berschrift2"/>
        <w:ind w:left="720"/>
        <w:rPr>
          <w:lang w:val="de-DE"/>
        </w:rPr>
      </w:pPr>
      <w:r>
        <w:rPr>
          <w:lang w:val="de-DE"/>
        </w:rPr>
        <w:t>2.4 Vorfallmanagement</w:t>
      </w:r>
    </w:p>
    <w:p w14:paraId="4132938B" w14:textId="77777777" w:rsidR="003E34F2" w:rsidRDefault="003041CD">
      <w:pPr>
        <w:pStyle w:val="TOMBullet"/>
        <w:ind w:left="1032"/>
        <w:rPr>
          <w:lang w:val="de-DE"/>
        </w:rPr>
      </w:pPr>
      <w:r>
        <w:rPr>
          <w:b/>
          <w:lang w:val="de-DE"/>
        </w:rPr>
        <w:t>• Verfahren:</w:t>
      </w:r>
      <w:r>
        <w:rPr>
          <w:lang w:val="de-DE"/>
        </w:rPr>
        <w:t xml:space="preserve"> Ein Verfahren zur Erkennung, Bewertung, Meldung, Eindämmung, Behebung und Dokumentation von Sicherheitsvorfällen ist implementiert.</w:t>
      </w:r>
    </w:p>
    <w:p w14:paraId="4C53030D" w14:textId="77777777" w:rsidR="003E34F2" w:rsidRDefault="003041CD">
      <w:pPr>
        <w:pStyle w:val="TOMBullet"/>
        <w:ind w:left="1032"/>
        <w:rPr>
          <w:lang w:val="de-DE"/>
        </w:rPr>
      </w:pPr>
      <w:r>
        <w:rPr>
          <w:b/>
          <w:lang w:val="de-DE"/>
        </w:rPr>
        <w:t>• Benachrichtigung:</w:t>
      </w:r>
      <w:r>
        <w:rPr>
          <w:lang w:val="de-DE"/>
        </w:rPr>
        <w:t xml:space="preserve"> Der Auftragnehmer benachrichtigt die Auftraggeberin unverzüglich über Datenschutzvorfälle nach Maßgabe dieser Vereinbarung.</w:t>
      </w:r>
    </w:p>
    <w:p w14:paraId="27A8F579" w14:textId="77777777" w:rsidR="003E34F2" w:rsidRDefault="003041CD">
      <w:pPr>
        <w:pStyle w:val="berschrift2"/>
        <w:ind w:left="720"/>
        <w:rPr>
          <w:lang w:val="de-DE"/>
        </w:rPr>
      </w:pPr>
      <w:r>
        <w:rPr>
          <w:lang w:val="de-DE"/>
        </w:rPr>
        <w:t>2.5 Unterauftragnehmer</w:t>
      </w:r>
    </w:p>
    <w:p w14:paraId="17DDDE14" w14:textId="77777777" w:rsidR="003E34F2" w:rsidRDefault="003041CD">
      <w:pPr>
        <w:pStyle w:val="TOMBullet"/>
        <w:ind w:left="1032"/>
        <w:rPr>
          <w:lang w:val="de-DE"/>
        </w:rPr>
      </w:pPr>
      <w:r>
        <w:rPr>
          <w:b/>
          <w:lang w:val="de-DE"/>
        </w:rPr>
        <w:t>• Verzeichnis:</w:t>
      </w:r>
      <w:r>
        <w:rPr>
          <w:lang w:val="de-DE"/>
        </w:rPr>
        <w:t xml:space="preserve"> Aktuelle Unterauftragnehmer sind in dieser Vereinbarung oder in einem von der Auftraggeberin genehmigten Verzeichnis aufgeführt.</w:t>
      </w:r>
    </w:p>
    <w:p w14:paraId="359D64CE" w14:textId="77777777" w:rsidR="003E34F2" w:rsidRDefault="003041CD">
      <w:pPr>
        <w:pStyle w:val="TOMBullet"/>
        <w:ind w:left="1032"/>
        <w:rPr>
          <w:lang w:val="de-DE"/>
        </w:rPr>
      </w:pPr>
      <w:r>
        <w:rPr>
          <w:b/>
          <w:lang w:val="de-DE"/>
        </w:rPr>
        <w:t>• Genehmigung:</w:t>
      </w:r>
      <w:r>
        <w:rPr>
          <w:lang w:val="de-DE"/>
        </w:rPr>
        <w:t xml:space="preserve"> Vor der Einschaltung oder Ersetzung von Unterauftragnehmern holt der Auftragnehmer die erforderliche Genehmigung der Auftraggeberin ein.</w:t>
      </w:r>
    </w:p>
    <w:p w14:paraId="72310DDF" w14:textId="77777777" w:rsidR="003E34F2" w:rsidRDefault="003041CD">
      <w:pPr>
        <w:pStyle w:val="TOMBullet"/>
        <w:ind w:left="1032"/>
        <w:rPr>
          <w:lang w:val="de-DE"/>
        </w:rPr>
      </w:pPr>
      <w:r>
        <w:rPr>
          <w:b/>
          <w:lang w:val="de-DE"/>
        </w:rPr>
        <w:t>• Gleiches Schutzniveau:</w:t>
      </w:r>
      <w:r>
        <w:rPr>
          <w:lang w:val="de-DE"/>
        </w:rPr>
        <w:t xml:space="preserve"> Unterauftragnehmer werden auf Datenschutz- und Sicherheitsmaßnahmen verpflichtet, die mindestens dasselbe oder ein gleichwertiges Schutzniveau gewährleisten.</w:t>
      </w:r>
    </w:p>
    <w:p w14:paraId="5EEE1873" w14:textId="77777777" w:rsidR="003E34F2" w:rsidRDefault="003041CD">
      <w:pPr>
        <w:pStyle w:val="TOMBullet"/>
        <w:ind w:left="1032"/>
        <w:rPr>
          <w:lang w:val="de-DE"/>
        </w:rPr>
      </w:pPr>
      <w:r>
        <w:rPr>
          <w:b/>
          <w:lang w:val="de-DE"/>
        </w:rPr>
        <w:t>• Überprüfung:</w:t>
      </w:r>
      <w:r>
        <w:rPr>
          <w:lang w:val="de-DE"/>
        </w:rPr>
        <w:t xml:space="preserve"> Der Auftragnehmer überprüft Datenschutzkonformität und Sicherheitsmaßnahmen der Unterauftragnehmer regelmäßig und risikogerecht.</w:t>
      </w:r>
    </w:p>
    <w:p w14:paraId="6F2CD81B" w14:textId="77777777" w:rsidR="003E34F2" w:rsidRDefault="003041CD">
      <w:pPr>
        <w:pStyle w:val="berschrift2"/>
        <w:ind w:left="720"/>
        <w:rPr>
          <w:lang w:val="de-DE"/>
        </w:rPr>
      </w:pPr>
      <w:r>
        <w:rPr>
          <w:lang w:val="de-DE"/>
        </w:rPr>
        <w:t>2.6 Datenträgerentsorgung</w:t>
      </w:r>
    </w:p>
    <w:p w14:paraId="266B65F7" w14:textId="77777777" w:rsidR="003E34F2" w:rsidRDefault="003041CD">
      <w:pPr>
        <w:pStyle w:val="TOMBullet"/>
        <w:ind w:left="1032"/>
        <w:rPr>
          <w:lang w:val="de-DE"/>
        </w:rPr>
      </w:pPr>
      <w:r>
        <w:rPr>
          <w:b/>
          <w:lang w:val="de-DE"/>
        </w:rPr>
        <w:t>• Vernichtung:</w:t>
      </w:r>
      <w:r>
        <w:rPr>
          <w:lang w:val="de-DE"/>
        </w:rPr>
        <w:t xml:space="preserve"> Datenträger werden entsprechend der Sicherheitsstufe der Daten datenschutzgerecht gelöscht oder vernichtet, etwa durch physische Zerstörung oder sichere Datenlöschung nach DIN 66399, ISO/IEC 21964 oder einem gleichwertigen Verfahren.</w:t>
      </w:r>
    </w:p>
    <w:p w14:paraId="01338CC6" w14:textId="77777777" w:rsidR="003E34F2" w:rsidRDefault="003041CD">
      <w:pPr>
        <w:pStyle w:val="TOMBullet"/>
        <w:ind w:left="1032"/>
        <w:rPr>
          <w:lang w:val="de-DE"/>
        </w:rPr>
      </w:pPr>
      <w:r>
        <w:rPr>
          <w:b/>
          <w:lang w:val="de-DE"/>
        </w:rPr>
        <w:t>• Auftragsende:</w:t>
      </w:r>
      <w:r>
        <w:rPr>
          <w:lang w:val="de-DE"/>
        </w:rPr>
        <w:t xml:space="preserve"> Nach Beendigung des Auftrags werden personenbezogene Daten datenschutzgerecht gelöscht, soweit die Auftraggeberin nicht Rückgabe verlangt oder eine gesetzliche Aufbewahrungspflicht besteht.</w:t>
      </w:r>
    </w:p>
    <w:p w14:paraId="31AC4BD1" w14:textId="77777777" w:rsidR="003E34F2" w:rsidRDefault="003E34F2">
      <w:pPr>
        <w:rPr>
          <w:lang w:val="de-DE"/>
        </w:rPr>
      </w:pPr>
    </w:p>
    <w:p w14:paraId="39E55A22" w14:textId="77777777" w:rsidR="003E34F2" w:rsidRDefault="003041CD">
      <w:pPr>
        <w:rPr>
          <w:lang w:val="de-DE"/>
        </w:rPr>
      </w:pPr>
      <w:r>
        <w:rPr>
          <w:lang w:val="de-DE"/>
        </w:rPr>
        <w:t>(2) Der Auftragnehmer dokumentiert die Umsetzung der nach dieser Vereinbarung geschuldeten technischen und organisatorischen Maßnahmen vor Beginn der Verarbeitung und stellt der Auftraggeberin die Dokumentation zur Prüfung zur Verfügung. Auf Verlangen legt er für jede Maßnahme dar, ob sie umgesetzt ist, warum sie im konkreten Auftrag nicht einschlägig ist oder durch welche gleichwertige Maßnahme sie ersetzt wird. Ergibt die Prüfung oder eine Kontrolle der Auftraggeberin Anpassungsbedarf, wird dieser ohne Un</w:t>
      </w:r>
      <w:r>
        <w:rPr>
          <w:lang w:val="de-DE"/>
        </w:rPr>
        <w:t>terschreitung des geschuldeten Schutzniveaus umgesetzt.</w:t>
      </w:r>
    </w:p>
    <w:p w14:paraId="2EBF9B17" w14:textId="77777777" w:rsidR="003E34F2" w:rsidRDefault="003041CD">
      <w:pPr>
        <w:rPr>
          <w:lang w:val="de-DE"/>
        </w:rPr>
      </w:pPr>
      <w:r>
        <w:rPr>
          <w:lang w:val="de-DE"/>
        </w:rPr>
        <w:t xml:space="preserve">(3) Die in dieser Ziffer genannten Maßnahmen beschreiben den geschuldeten Mindeststandard und sind nicht abschließend. Der Auftragnehmer prüft vor Beginn und während der Dauer der Verarbeitung, ob die Maßnahmen für die nach Ziffer 2 bestimmte Auftragsverarbeitung, den Schutzbedarf und die tatsächliche Zugriffssituation ein angemessenes Schutzniveau gewährleisten. </w:t>
      </w:r>
      <w:r>
        <w:rPr>
          <w:lang w:val="de-DE"/>
        </w:rPr>
        <w:t xml:space="preserve">Reichen die Maßnahmen nach Art, Umfang, Umständen oder Risiken der Verarbeitung nicht aus, </w:t>
      </w:r>
      <w:r>
        <w:rPr>
          <w:lang w:val="de-DE"/>
        </w:rPr>
        <w:lastRenderedPageBreak/>
        <w:t>ergänzt der Auftragnehmer sie vor Beginn der Verarbeitung oder unverzüglich nach Eintritt der Änderung um geeignete zusätzliche Maßnahmen und dokumentiert dies. Eine Absenkung des geschuldeten Schutzniveaus ist ausgeschlossen.</w:t>
      </w:r>
    </w:p>
    <w:p w14:paraId="07AD7D27" w14:textId="77777777" w:rsidR="003E34F2" w:rsidRDefault="003041CD">
      <w:pPr>
        <w:rPr>
          <w:lang w:val="de-DE"/>
        </w:rPr>
      </w:pPr>
      <w:r>
        <w:rPr>
          <w:lang w:val="de-DE"/>
        </w:rPr>
        <w:t>(4) Der Auftragnehmer kontrolliert regelmäßig seine internen Prozesse sowie die technischen und organisatorischen Maßnahmen, um sicherzustellen, dass die Verarbeitung in seinem Verantwortungsbereich im Einklang mit dem Datenschutzrecht erfolgt und die Rechte betroffener Personen geschützt werden. Alternative angemessene Maßnahmen sind zulässig, wenn das vereinbarte Schutzniveau nicht unterschritten wird. Wesentliche Änderungen werden dokumentiert und der Auftraggeberin mitgeteilt, soweit sie für die Bewertu</w:t>
      </w:r>
      <w:r>
        <w:rPr>
          <w:lang w:val="de-DE"/>
        </w:rPr>
        <w:t>ng des Schutzniveaus erheblich sind. Bei erhöhtem oder hohem Schutzbedarf legt der Auftragnehmer der Auftraggeberin mindestens alle zwei Jahre geeignete aktuelle Nachweise zur Wirksamkeit der Maßnahmen vor; das Recht der Auftraggeberin, solche Nachweise zusätzlich anlassbezogen anzufordern, bleibt unberührt. Geeignete Nachweise sind insbesondere Zertifikate, Prüfberichte, Auditberichte, Sicherheitskonzepte oder gleichwertige Unterlagen.</w:t>
      </w:r>
    </w:p>
    <w:p w14:paraId="25A6F2B3" w14:textId="77777777" w:rsidR="003E34F2" w:rsidRDefault="003041CD">
      <w:pPr>
        <w:pStyle w:val="berschrift1"/>
        <w:rPr>
          <w:lang w:val="de-DE"/>
        </w:rPr>
      </w:pPr>
      <w:r>
        <w:rPr>
          <w:lang w:val="de-DE"/>
        </w:rPr>
        <w:t>8. Homeoffice, mobile Arbeit, Fernwartung und Remote-Zugriff</w:t>
      </w:r>
    </w:p>
    <w:p w14:paraId="10B972FB" w14:textId="77777777" w:rsidR="003E34F2" w:rsidRDefault="003041CD">
      <w:pPr>
        <w:rPr>
          <w:lang w:val="de-DE"/>
        </w:rPr>
      </w:pPr>
      <w:r>
        <w:rPr>
          <w:lang w:val="de-DE"/>
        </w:rPr>
        <w:t>(1) Für die Durchführung der von dieser Vereinbarung erfassten Auftragsverarbeitung sind Homeoffice und mobile Arbeit nicht bereits deshalb zulässig, weil der Auftragnehmer sie intern gestattet oder organisatorisch vorsieht. Sie sind nur zulässig, soweit die Auftraggeberin sie für diese Auftragsverarbeitung in Textform freigegeben hat. Die Freigabe setzt voraus, dass das nach dieser Vereinbarung geschuldete Schutzniveau auch in der jeweiligen Arbeitsumgebung gewährleistet bleibt.</w:t>
      </w:r>
    </w:p>
    <w:p w14:paraId="357CB245" w14:textId="77777777" w:rsidR="003E34F2" w:rsidRDefault="003041CD">
      <w:pPr>
        <w:rPr>
          <w:lang w:val="de-DE"/>
        </w:rPr>
      </w:pPr>
      <w:r>
        <w:rPr>
          <w:lang w:val="de-DE"/>
        </w:rPr>
        <w:t>(2) Bei Homeoffice und mobiler Arbeit dürfen von dieser Vereinbarung erfasste personenbezogene Daten nur lokal gespeichert werden, wenn dies für die jeweilige Tätigkeit zwingend erforderlich und von der Auftraggeberin gesondert freigegeben ist. Der Einsatz privater Endgeräte oder privater Speichermedien ist ausgeschlossen. Eine freigegebene lokale Speicherung erfolgt ausschließlich verschlüsselt und nur für die erforderliche Dauer. Haushaltsangehörige Personen und sonstige Dritte dürfen keine Kenntnis von p</w:t>
      </w:r>
      <w:r>
        <w:rPr>
          <w:lang w:val="de-DE"/>
        </w:rPr>
        <w:t>ersonenbezogenen Daten nehmen und keinen Zugriff auf Systeme, Datenträger oder Unterlagen erhalten.</w:t>
      </w:r>
    </w:p>
    <w:p w14:paraId="0BCFC58E" w14:textId="77777777" w:rsidR="003E34F2" w:rsidRDefault="003041CD">
      <w:pPr>
        <w:rPr>
          <w:lang w:val="de-DE"/>
        </w:rPr>
      </w:pPr>
      <w:r>
        <w:rPr>
          <w:lang w:val="de-DE"/>
        </w:rPr>
        <w:t>(3) Fernwartung, Remote-Support und administrative Fernzugriffe sind nur zulässig, soweit sie zur Erbringung der datenbezogenen Leistung erforderlich sind und auf einer Freigabe der Auftraggeberin, einer dokumentierten Weisung oder einem von der Auftraggeberin gebilligten Supportverfahren beruhen.</w:t>
      </w:r>
    </w:p>
    <w:p w14:paraId="3CDA8CD0" w14:textId="77777777" w:rsidR="003E34F2" w:rsidRDefault="003041CD">
      <w:pPr>
        <w:rPr>
          <w:lang w:val="de-DE"/>
        </w:rPr>
      </w:pPr>
      <w:r>
        <w:rPr>
          <w:lang w:val="de-DE"/>
        </w:rPr>
        <w:t>(4) Fernwartung, Remote-Support und administrative Fernzugriffe erfolgen ausschließlich über verschlüsselte Verbindungen, personalisierte Kennungen, Mehr-Faktor-Authentifizierung mit mindestens zwei voneinander unabhängigen Faktoren und rollenbezogene Berechtigungen. Eine Authentifizierung nur mit Benutzername und Passwort genügt für solche Zugriffe nicht, soweit die Auftraggeberin nicht im Einzelfall ein nachweislich gleichwertiges Sicherungsverfahren freigegeben hat. Soweit die Auftraggeberin technische Z</w:t>
      </w:r>
      <w:r>
        <w:rPr>
          <w:lang w:val="de-DE"/>
        </w:rPr>
        <w:t xml:space="preserve">ugänge bereitstellt, nutzt der Auftragnehmer </w:t>
      </w:r>
      <w:proofErr w:type="gramStart"/>
      <w:r>
        <w:rPr>
          <w:lang w:val="de-DE"/>
        </w:rPr>
        <w:t>ausschließlich diese Zugänge</w:t>
      </w:r>
      <w:proofErr w:type="gramEnd"/>
      <w:r>
        <w:rPr>
          <w:lang w:val="de-DE"/>
        </w:rPr>
        <w:t>. Die Zugriffe sind zu protokollieren, zeitlich und inhaltlich auf das erforderliche Maß zu begrenzen und nach Abschluss der Tätigkeit unverzüglich zu beenden. Das Protokoll enthält mindestens Datum, Uhrzeit, Dauer, handelnde Person, Anlass und Zweck des Zugriffs, betroffenes System, genutztes Zugangsverfahren und Ergebnis der Tätigkeit.</w:t>
      </w:r>
    </w:p>
    <w:p w14:paraId="2758D231" w14:textId="77777777" w:rsidR="003E34F2" w:rsidRDefault="003041CD">
      <w:pPr>
        <w:rPr>
          <w:lang w:val="de-DE"/>
        </w:rPr>
      </w:pPr>
      <w:r>
        <w:rPr>
          <w:lang w:val="de-DE"/>
        </w:rPr>
        <w:t>(5) Beginn und Ende eines Fernzugriffs teilt der Auftragnehmer nach dem vereinbarten Supportverfahren mit. Besteht kein vereinbartes Verfahren, ist jeder Fernzugriff vorab von der Auftraggeberin freizugeben. Die Auftraggeberin darf verlangen, dass Fernzugriffe zeitlich begrenzt, begleitet, zusätzlich protokolliert, technisch überwacht oder nur nach gesonderter Freigabe ermöglicht werden.</w:t>
      </w:r>
    </w:p>
    <w:p w14:paraId="15847859" w14:textId="77777777" w:rsidR="003E34F2" w:rsidRDefault="003041CD">
      <w:pPr>
        <w:rPr>
          <w:lang w:val="de-DE"/>
        </w:rPr>
      </w:pPr>
      <w:r>
        <w:rPr>
          <w:lang w:val="de-DE"/>
        </w:rPr>
        <w:lastRenderedPageBreak/>
        <w:t>(6) Bei Fernwartung, Remote-Support und administrativen Fernzugriffen speichert der Auftragnehmer von dieser Vereinbarung erfasste personenbezogene Daten nicht auf eigenen Systemen oder Datenträgern, es sei denn, die Auftraggeberin hat dies dokumentiert angewiesen oder zuvor freigegeben und die Speicherung ist für die jeweilige Tätigkeit zwingend erforderlich.</w:t>
      </w:r>
    </w:p>
    <w:p w14:paraId="160999F1" w14:textId="77777777" w:rsidR="003E34F2" w:rsidRDefault="003041CD">
      <w:pPr>
        <w:pStyle w:val="berschrift1"/>
        <w:rPr>
          <w:lang w:val="de-DE"/>
        </w:rPr>
      </w:pPr>
      <w:r>
        <w:rPr>
          <w:lang w:val="de-DE"/>
        </w:rPr>
        <w:t>9. Ort der Verarbeitung, Drittlandbezug und Standardvertragsklauseln</w:t>
      </w:r>
    </w:p>
    <w:p w14:paraId="09638174" w14:textId="77777777" w:rsidR="003E34F2" w:rsidRDefault="003041CD">
      <w:pPr>
        <w:rPr>
          <w:lang w:val="de-DE"/>
        </w:rPr>
      </w:pPr>
      <w:r>
        <w:rPr>
          <w:lang w:val="de-DE"/>
        </w:rPr>
        <w:t>(1) Eine Verarbeitung außerhalb der Europäischen Union oder des Europäischen Wirtschaftsraums sowie ein Zugriff aus einem Drittland sind nur zulässig, wenn sie in Ziffer 2 ausdrücklich bestimmt sind oder die Auftraggeberin ihnen nach dieser Ziffer zuvor zugestimmt hat. Andernfalls ist die Verarbeitung auf die Europäische Union und den Europäischen Wirtschaftsraum beschränkt.</w:t>
      </w:r>
    </w:p>
    <w:p w14:paraId="4969FCE2" w14:textId="77777777" w:rsidR="003E34F2" w:rsidRDefault="003041CD">
      <w:pPr>
        <w:rPr>
          <w:lang w:val="de-DE"/>
        </w:rPr>
      </w:pPr>
      <w:r>
        <w:rPr>
          <w:lang w:val="de-DE"/>
        </w:rPr>
        <w:t>(2) Jede Drittlandverarbeitung und jeder Zugriff aus einem Drittland bedürfen der vorherigen Zustimmung der Auftraggeberin in Textform. Dies gilt insbesondere für Support, Administration, Fernwartung, Cloud-Dienste, Unterauftragnehmer, Notfallzugriffe sowie für den Zugriff auf oder die Verarbeitung von Protokolldaten.</w:t>
      </w:r>
    </w:p>
    <w:p w14:paraId="0217375B" w14:textId="77777777" w:rsidR="003E34F2" w:rsidRDefault="003041CD">
      <w:pPr>
        <w:rPr>
          <w:lang w:val="de-DE"/>
        </w:rPr>
      </w:pPr>
      <w:r>
        <w:rPr>
          <w:lang w:val="de-DE"/>
        </w:rPr>
        <w:t>(3) Die Auftraggeberin wird eine Zustimmung nur erteilen, wenn die Voraussetzungen der Artikel 44 bis 49 DSGVO erfüllt sind und der Auftragnehmer die hierfür erforderlichen Nachweise vorlegt. Werden Standarddatenschutzklauseln nach Artikel 46 Absatz 2 Buchstabe c DSGVO eingesetzt, unterstützt der Auftragnehmer die Auftraggeberin bei der Risikobewertung der Drittlandübermittlung, bei der Prüfung zusätzlicher Schutzmaßnahmen und bei der Dokumentation.</w:t>
      </w:r>
    </w:p>
    <w:p w14:paraId="4FB35BF3" w14:textId="77777777" w:rsidR="003E34F2" w:rsidRDefault="003041CD">
      <w:pPr>
        <w:rPr>
          <w:lang w:val="de-DE"/>
        </w:rPr>
      </w:pPr>
      <w:r>
        <w:rPr>
          <w:lang w:val="de-DE"/>
        </w:rPr>
        <w:t>(4) Standardvertragsklauseln über Auftragsverarbeitung nach Artikel 28 Absatz 7 DSGVO und Standarddatenschutzklauseln für Drittlandübermittlungen nach Artikel 46 Absatz 2 Buchstabe c DSGVO sind unterschiedliche Instrumente. Soweit eines dieser Instrumente erforderlich wird, wird es gesondert und eindeutig in Textform einbezogen.</w:t>
      </w:r>
    </w:p>
    <w:p w14:paraId="2EDB5478" w14:textId="77777777" w:rsidR="003E34F2" w:rsidRDefault="003041CD">
      <w:pPr>
        <w:rPr>
          <w:lang w:val="de-DE"/>
        </w:rPr>
      </w:pPr>
      <w:r>
        <w:rPr>
          <w:lang w:val="de-DE"/>
        </w:rPr>
        <w:t>(5) Erhält der Auftragnehmer eine Anfrage, Aufforderung oder Anordnung einer Behörde oder eines Gerichts, insbesondere aus einem Drittland, die sich auf von dieser Vereinbarung erfasste personenbezogene Daten beziehen kann, informiert er die Auftraggeberin unverzüglich, soweit dies rechtlich zulässig ist. Eine Herausgabe, Offenlegung, Übermittlung oder Zugriffsgestattung erfolgt nur, soweit der Auftragnehmer hierzu nach dem Recht der Europäischen Union oder eines Mitgliedstaats rechtlich verpflichtet ist od</w:t>
      </w:r>
      <w:r>
        <w:rPr>
          <w:lang w:val="de-DE"/>
        </w:rPr>
        <w:t>er eine dokumentierte Weisung der Auftraggeberin vorliegt; die Anforderungen dieser Ziffer bleiben unberührt. Eine Verpflichtung nach dem Recht eines Drittlands rechtfertigt eine Offenlegung, Übermittlung oder Zugriffsgestattung nur, soweit zugleich die Anforderungen der Artikel 44 bis 49 DSGVO erfüllt sind. Artikel 48 DSGVO bleibt unberührt.</w:t>
      </w:r>
    </w:p>
    <w:p w14:paraId="2F444C3F" w14:textId="77777777" w:rsidR="003E34F2" w:rsidRDefault="003041CD">
      <w:pPr>
        <w:pStyle w:val="berschrift1"/>
        <w:rPr>
          <w:color w:val="000000"/>
          <w:lang w:val="de-DE"/>
        </w:rPr>
      </w:pPr>
      <w:r>
        <w:rPr>
          <w:lang w:val="de-DE"/>
        </w:rPr>
        <w:t>10. Unterauftragnehmer</w:t>
      </w:r>
    </w:p>
    <w:p w14:paraId="6A2DDFC1" w14:textId="77777777" w:rsidR="003E34F2" w:rsidRDefault="003041CD">
      <w:pPr>
        <w:rPr>
          <w:color w:val="000000"/>
          <w:lang w:val="de-DE"/>
        </w:rPr>
      </w:pPr>
      <w:r>
        <w:rPr>
          <w:color w:val="000000"/>
          <w:lang w:val="de-DE"/>
        </w:rPr>
        <w:t xml:space="preserve">(1) Der Auftragnehmer darf Unterauftragnehmer, die von dieser Vereinbarung </w:t>
      </w:r>
      <w:proofErr w:type="gramStart"/>
      <w:r>
        <w:rPr>
          <w:color w:val="000000"/>
          <w:lang w:val="de-DE"/>
        </w:rPr>
        <w:t>erfasste</w:t>
      </w:r>
      <w:proofErr w:type="gramEnd"/>
      <w:r>
        <w:rPr>
          <w:color w:val="000000"/>
          <w:lang w:val="de-DE"/>
        </w:rPr>
        <w:t xml:space="preserve"> personenbezogene Daten verarbeiten oder Zugriff auf solche Daten erhalten können, nur einsetzen, wenn die Auftraggeberin sie zuvor gesondert oder allgemein in Textform genehmigt hat. Ohne wirksame Genehmigung ist eine solche Unterbeauftragung unzulässig. Eine allgemeine Genehmigung umfasst keine Unterauftragnehmer, deren Einsatz eine Verarbeitung außerhalb der Europäischen Union oder des Europäischen Wirtschaftsraums, einen Zugriff aus einem Drittland oder sonstigen Drittlandbezug einschließt; hierfür beda</w:t>
      </w:r>
      <w:r>
        <w:rPr>
          <w:color w:val="000000"/>
          <w:lang w:val="de-DE"/>
        </w:rPr>
        <w:t>rf es stets einer gesonderten ausdrücklichen Genehmigung der Auftraggeberin. Eine Genehmigung liegt nur vor, wenn der konkrete Unterauftragnehmer einschließlich eines etwaigen Drittlandbezugs in diesem Vertragsverzeichnis oder in einer späteren Zustimmung der Auftraggeberin ausdrücklich bezeichnet ist.</w:t>
      </w:r>
    </w:p>
    <w:p w14:paraId="7CEDEB44" w14:textId="77777777" w:rsidR="003E34F2" w:rsidRDefault="003041CD">
      <w:pPr>
        <w:rPr>
          <w:color w:val="000000"/>
          <w:lang w:val="de-DE"/>
        </w:rPr>
      </w:pPr>
      <w:r>
        <w:rPr>
          <w:color w:val="000000"/>
          <w:lang w:val="de-DE"/>
        </w:rPr>
        <w:t>(2) Die bei Vertragsschluss genehmigten Unterauftragnehmer sind im folgenden Verzeichnis aufgeführt. Werden keine Unterauftragnehmer eingetragen oder wird „keine“ eingetragen, sind bei Vertragsschluss keine Unterauftragnehmer genehmigt.</w:t>
      </w:r>
    </w:p>
    <w:p w14:paraId="4E678F15" w14:textId="77777777" w:rsidR="003E34F2" w:rsidRDefault="003E34F2">
      <w:pPr>
        <w:rPr>
          <w:color w:val="000000"/>
          <w:lang w:val="de-DE"/>
        </w:rPr>
      </w:pPr>
    </w:p>
    <w:tbl>
      <w:tblPr>
        <w:tblW w:w="0" w:type="auto"/>
        <w:jc w:val="center"/>
        <w:tblLook w:val="04A0" w:firstRow="1" w:lastRow="0" w:firstColumn="1" w:lastColumn="0" w:noHBand="0" w:noVBand="1"/>
      </w:tblPr>
      <w:tblGrid>
        <w:gridCol w:w="2492"/>
        <w:gridCol w:w="2488"/>
        <w:gridCol w:w="2491"/>
        <w:gridCol w:w="2491"/>
      </w:tblGrid>
      <w:tr w:rsidR="003E34F2" w14:paraId="78C28298" w14:textId="77777777">
        <w:trPr>
          <w:tblHeader/>
          <w:jc w:val="center"/>
        </w:trPr>
        <w:tc>
          <w:tcPr>
            <w:tcW w:w="2493" w:type="dxa"/>
            <w:tcBorders>
              <w:top w:val="single" w:sz="4" w:space="0" w:color="D6DADF"/>
              <w:left w:val="single" w:sz="4" w:space="0" w:color="D6DADF"/>
              <w:bottom w:val="single" w:sz="4" w:space="0" w:color="D6DADF"/>
              <w:right w:val="single" w:sz="4" w:space="0" w:color="D6DADF"/>
            </w:tcBorders>
            <w:shd w:val="clear" w:color="auto" w:fill="EDEFF2"/>
            <w:tcMar>
              <w:top w:w="70" w:type="dxa"/>
              <w:left w:w="70" w:type="dxa"/>
              <w:bottom w:w="70" w:type="dxa"/>
              <w:right w:w="70" w:type="dxa"/>
            </w:tcMar>
          </w:tcPr>
          <w:p w14:paraId="75E8EA5F" w14:textId="77777777" w:rsidR="003E34F2" w:rsidRDefault="003041CD">
            <w:pPr>
              <w:rPr>
                <w:lang w:val="de-DE"/>
              </w:rPr>
            </w:pPr>
            <w:r>
              <w:rPr>
                <w:b/>
                <w:lang w:val="de-DE"/>
              </w:rPr>
              <w:t>Unterauftragnehmer</w:t>
            </w:r>
          </w:p>
        </w:tc>
        <w:tc>
          <w:tcPr>
            <w:tcW w:w="2493" w:type="dxa"/>
            <w:tcBorders>
              <w:top w:val="single" w:sz="4" w:space="0" w:color="D6DADF"/>
              <w:left w:val="single" w:sz="4" w:space="0" w:color="D6DADF"/>
              <w:bottom w:val="single" w:sz="4" w:space="0" w:color="D6DADF"/>
              <w:right w:val="single" w:sz="4" w:space="0" w:color="D6DADF"/>
            </w:tcBorders>
            <w:shd w:val="clear" w:color="auto" w:fill="EDEFF2"/>
            <w:tcMar>
              <w:top w:w="70" w:type="dxa"/>
              <w:left w:w="70" w:type="dxa"/>
              <w:bottom w:w="70" w:type="dxa"/>
              <w:right w:w="70" w:type="dxa"/>
            </w:tcMar>
          </w:tcPr>
          <w:p w14:paraId="0374453D" w14:textId="77777777" w:rsidR="003E34F2" w:rsidRDefault="003041CD">
            <w:pPr>
              <w:rPr>
                <w:lang w:val="de-DE"/>
              </w:rPr>
            </w:pPr>
            <w:r>
              <w:rPr>
                <w:b/>
                <w:lang w:val="de-DE"/>
              </w:rPr>
              <w:t>Sitz, Anschrift und Kontakt</w:t>
            </w:r>
          </w:p>
        </w:tc>
        <w:tc>
          <w:tcPr>
            <w:tcW w:w="2493" w:type="dxa"/>
            <w:tcBorders>
              <w:top w:val="single" w:sz="4" w:space="0" w:color="D6DADF"/>
              <w:left w:val="single" w:sz="4" w:space="0" w:color="D6DADF"/>
              <w:bottom w:val="single" w:sz="4" w:space="0" w:color="D6DADF"/>
              <w:right w:val="single" w:sz="4" w:space="0" w:color="D6DADF"/>
            </w:tcBorders>
            <w:shd w:val="clear" w:color="auto" w:fill="EDEFF2"/>
            <w:tcMar>
              <w:top w:w="70" w:type="dxa"/>
              <w:left w:w="70" w:type="dxa"/>
              <w:bottom w:w="70" w:type="dxa"/>
              <w:right w:w="70" w:type="dxa"/>
            </w:tcMar>
          </w:tcPr>
          <w:p w14:paraId="1E90D90E" w14:textId="77777777" w:rsidR="003E34F2" w:rsidRDefault="003041CD">
            <w:pPr>
              <w:rPr>
                <w:lang w:val="de-DE"/>
              </w:rPr>
            </w:pPr>
            <w:r>
              <w:rPr>
                <w:b/>
                <w:lang w:val="de-DE"/>
              </w:rPr>
              <w:t>Gegenstand und Umfang der Unterbeauftragung</w:t>
            </w:r>
          </w:p>
        </w:tc>
        <w:tc>
          <w:tcPr>
            <w:tcW w:w="2493" w:type="dxa"/>
            <w:tcBorders>
              <w:top w:val="single" w:sz="4" w:space="0" w:color="D6DADF"/>
              <w:left w:val="single" w:sz="4" w:space="0" w:color="D6DADF"/>
              <w:bottom w:val="single" w:sz="4" w:space="0" w:color="D6DADF"/>
              <w:right w:val="single" w:sz="4" w:space="0" w:color="D6DADF"/>
            </w:tcBorders>
            <w:shd w:val="clear" w:color="auto" w:fill="EDEFF2"/>
            <w:tcMar>
              <w:top w:w="70" w:type="dxa"/>
              <w:left w:w="70" w:type="dxa"/>
              <w:bottom w:w="70" w:type="dxa"/>
              <w:right w:w="70" w:type="dxa"/>
            </w:tcMar>
          </w:tcPr>
          <w:p w14:paraId="35E3A1CA" w14:textId="77777777" w:rsidR="003E34F2" w:rsidRDefault="003041CD">
            <w:pPr>
              <w:rPr>
                <w:lang w:val="de-DE"/>
              </w:rPr>
            </w:pPr>
            <w:r>
              <w:rPr>
                <w:b/>
                <w:lang w:val="de-DE"/>
              </w:rPr>
              <w:t>Genehmigung, Verarbeitungsorte und Drittlandbezug</w:t>
            </w:r>
          </w:p>
        </w:tc>
      </w:tr>
      <w:tr w:rsidR="003E34F2" w:rsidRPr="00DD77DB" w14:paraId="03610FC7" w14:textId="77777777">
        <w:trPr>
          <w:jc w:val="center"/>
        </w:trPr>
        <w:tc>
          <w:tcPr>
            <w:tcW w:w="2493"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5918F49B" w14:textId="2463DDB8" w:rsidR="003E34F2" w:rsidRDefault="003041CD">
            <w:pPr>
              <w:rPr>
                <w:lang w:val="de-DE"/>
              </w:rPr>
            </w:pPr>
            <w:sdt>
              <w:sdtPr>
                <w:rPr>
                  <w:lang w:val="de-DE"/>
                </w:rPr>
                <w:id w:val="1492212483"/>
                <w:placeholder>
                  <w:docPart w:val="3F2D0A20D90B47A29D80580BB6908259"/>
                </w:placeholder>
                <w:showingPlcHdr/>
              </w:sdtPr>
              <w:sdtEndPr/>
              <w:sdtContent>
                <w:r w:rsidR="005A03E1">
                  <w:rPr>
                    <w:rStyle w:val="Platzhaltertext"/>
                  </w:rPr>
                  <w:t>Name</w:t>
                </w:r>
              </w:sdtContent>
            </w:sdt>
          </w:p>
        </w:tc>
        <w:sdt>
          <w:sdtPr>
            <w:rPr>
              <w:lang w:val="de-DE"/>
            </w:rPr>
            <w:id w:val="-1497878159"/>
            <w:placeholder>
              <w:docPart w:val="7408C939C8524B8FB4E6E730FCF45D52"/>
            </w:placeholder>
            <w:showingPlcHdr/>
          </w:sdtPr>
          <w:sdtEndPr/>
          <w:sdtContent>
            <w:tc>
              <w:tcPr>
                <w:tcW w:w="2493"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2D6CD406" w14:textId="1B882E0E" w:rsidR="003E34F2" w:rsidRDefault="005A03E1">
                <w:pPr>
                  <w:rPr>
                    <w:lang w:val="de-DE"/>
                  </w:rPr>
                </w:pPr>
                <w:r w:rsidRPr="005A03E1">
                  <w:rPr>
                    <w:lang w:val="de-DE"/>
                  </w:rPr>
                  <w:t>Anschrift; Kontaktstelle</w:t>
                </w:r>
              </w:p>
            </w:tc>
          </w:sdtContent>
        </w:sdt>
        <w:sdt>
          <w:sdtPr>
            <w:rPr>
              <w:lang w:val="de-DE"/>
            </w:rPr>
            <w:id w:val="-520471392"/>
            <w:placeholder>
              <w:docPart w:val="62DAB1E9D670469DA6B32423F87AF625"/>
            </w:placeholder>
            <w:showingPlcHdr/>
          </w:sdtPr>
          <w:sdtEndPr/>
          <w:sdtContent>
            <w:tc>
              <w:tcPr>
                <w:tcW w:w="2493"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430EAB5E" w14:textId="74CF2C21" w:rsidR="003E34F2" w:rsidRDefault="005A03E1">
                <w:pPr>
                  <w:rPr>
                    <w:lang w:val="de-DE"/>
                  </w:rPr>
                </w:pPr>
                <w:r w:rsidRPr="005A03E1">
                  <w:rPr>
                    <w:lang w:val="de-DE"/>
                  </w:rPr>
                  <w:t>Leistung; Gegenstand; Daten; betroffene Personengruppen; ggf. Dauer</w:t>
                </w:r>
              </w:p>
            </w:tc>
          </w:sdtContent>
        </w:sdt>
        <w:tc>
          <w:tcPr>
            <w:tcW w:w="2493"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24D1100A" w14:textId="7ABEB640" w:rsidR="003E34F2" w:rsidRDefault="003041CD">
            <w:pPr>
              <w:rPr>
                <w:lang w:val="de-DE"/>
              </w:rPr>
            </w:pPr>
            <w:sdt>
              <w:sdtPr>
                <w:rPr>
                  <w:lang w:val="de-DE"/>
                </w:rPr>
                <w:id w:val="-1403140453"/>
                <w:placeholder>
                  <w:docPart w:val="FA6ED4C344634B42B52E8E1A38D9A311"/>
                </w:placeholder>
                <w:showingPlcHdr/>
              </w:sdtPr>
              <w:sdtEndPr/>
              <w:sdtContent>
                <w:r w:rsidR="005A03E1" w:rsidRPr="005A03E1">
                  <w:rPr>
                    <w:lang w:val="de-DE"/>
                  </w:rPr>
                  <w:t>Genehmigung bei Vertragsschluss; Serverstandorte; Drittlandbezug; Garantien; weitere Unterauftragnehmer</w:t>
                </w:r>
              </w:sdtContent>
            </w:sdt>
          </w:p>
        </w:tc>
      </w:tr>
      <w:tr w:rsidR="003E34F2" w:rsidRPr="00DD77DB" w14:paraId="40FE911E" w14:textId="77777777">
        <w:trPr>
          <w:jc w:val="center"/>
        </w:trPr>
        <w:tc>
          <w:tcPr>
            <w:tcW w:w="2493"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3DA6E4FD" w14:textId="5746D47A" w:rsidR="003E34F2" w:rsidRDefault="003041CD">
            <w:pPr>
              <w:rPr>
                <w:lang w:val="de-DE"/>
              </w:rPr>
            </w:pPr>
            <w:sdt>
              <w:sdtPr>
                <w:rPr>
                  <w:lang w:val="de-DE"/>
                </w:rPr>
                <w:id w:val="691336229"/>
                <w:placeholder>
                  <w:docPart w:val="3CD8C2F86ED4469880029B2A664AD44E"/>
                </w:placeholder>
                <w:showingPlcHdr/>
              </w:sdtPr>
              <w:sdtEndPr/>
              <w:sdtContent>
                <w:r w:rsidR="005A03E1">
                  <w:rPr>
                    <w:rStyle w:val="Platzhaltertext"/>
                  </w:rPr>
                  <w:t>Name</w:t>
                </w:r>
              </w:sdtContent>
            </w:sdt>
          </w:p>
        </w:tc>
        <w:sdt>
          <w:sdtPr>
            <w:rPr>
              <w:lang w:val="de-DE"/>
            </w:rPr>
            <w:id w:val="-437527531"/>
            <w:placeholder>
              <w:docPart w:val="BE976ADA12604540BC65DE396AA20F58"/>
            </w:placeholder>
            <w:showingPlcHdr/>
          </w:sdtPr>
          <w:sdtEndPr/>
          <w:sdtContent>
            <w:tc>
              <w:tcPr>
                <w:tcW w:w="2493"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46AB9161" w14:textId="3A142A2C" w:rsidR="003E34F2" w:rsidRDefault="005A03E1">
                <w:pPr>
                  <w:rPr>
                    <w:lang w:val="de-DE"/>
                  </w:rPr>
                </w:pPr>
                <w:r w:rsidRPr="005A03E1">
                  <w:rPr>
                    <w:lang w:val="de-DE"/>
                  </w:rPr>
                  <w:t>Anschrift; Kontaktstelle</w:t>
                </w:r>
              </w:p>
            </w:tc>
          </w:sdtContent>
        </w:sdt>
        <w:sdt>
          <w:sdtPr>
            <w:rPr>
              <w:lang w:val="de-DE"/>
            </w:rPr>
            <w:id w:val="-1530636120"/>
            <w:placeholder>
              <w:docPart w:val="FB6142DC72904AB69C5FBC6345A0D622"/>
            </w:placeholder>
            <w:showingPlcHdr/>
          </w:sdtPr>
          <w:sdtEndPr/>
          <w:sdtContent>
            <w:tc>
              <w:tcPr>
                <w:tcW w:w="2493"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3EF51D6A" w14:textId="36C3110C" w:rsidR="003E34F2" w:rsidRDefault="005A03E1">
                <w:pPr>
                  <w:rPr>
                    <w:lang w:val="de-DE"/>
                  </w:rPr>
                </w:pPr>
                <w:r w:rsidRPr="005A03E1">
                  <w:rPr>
                    <w:lang w:val="de-DE"/>
                  </w:rPr>
                  <w:t>Leistung; Gegenstand; Daten; betroffene Personengruppen; ggf. Dauer</w:t>
                </w:r>
              </w:p>
            </w:tc>
          </w:sdtContent>
        </w:sdt>
        <w:tc>
          <w:tcPr>
            <w:tcW w:w="2493" w:type="dxa"/>
            <w:tcBorders>
              <w:top w:val="single" w:sz="3" w:space="0" w:color="E2E5E8"/>
              <w:left w:val="single" w:sz="3" w:space="0" w:color="E2E5E8"/>
              <w:bottom w:val="single" w:sz="3" w:space="0" w:color="E2E5E8"/>
              <w:right w:val="single" w:sz="3" w:space="0" w:color="E2E5E8"/>
            </w:tcBorders>
            <w:tcMar>
              <w:top w:w="70" w:type="dxa"/>
              <w:left w:w="70" w:type="dxa"/>
              <w:bottom w:w="70" w:type="dxa"/>
              <w:right w:w="70" w:type="dxa"/>
            </w:tcMar>
          </w:tcPr>
          <w:p w14:paraId="5C7649EB" w14:textId="629918BF" w:rsidR="003E34F2" w:rsidRDefault="003041CD">
            <w:pPr>
              <w:rPr>
                <w:lang w:val="de-DE"/>
              </w:rPr>
            </w:pPr>
            <w:sdt>
              <w:sdtPr>
                <w:rPr>
                  <w:lang w:val="de-DE"/>
                </w:rPr>
                <w:id w:val="-328517318"/>
                <w:placeholder>
                  <w:docPart w:val="CC5036C7E0A14787A863E3995F69DFA8"/>
                </w:placeholder>
                <w:showingPlcHdr/>
              </w:sdtPr>
              <w:sdtEndPr/>
              <w:sdtContent>
                <w:r w:rsidR="005A03E1" w:rsidRPr="005A03E1">
                  <w:rPr>
                    <w:lang w:val="de-DE"/>
                  </w:rPr>
                  <w:t>Genehmigung bei Vertragsschluss; Serverstandorte; Drittlandbezug; Garantien; weitere Unterauftragnehmer</w:t>
                </w:r>
              </w:sdtContent>
            </w:sdt>
          </w:p>
        </w:tc>
      </w:tr>
    </w:tbl>
    <w:p w14:paraId="0111F016" w14:textId="77777777" w:rsidR="003E34F2" w:rsidRDefault="003E34F2">
      <w:pPr>
        <w:rPr>
          <w:lang w:val="de-DE"/>
        </w:rPr>
      </w:pPr>
    </w:p>
    <w:p w14:paraId="28343AB5" w14:textId="77777777" w:rsidR="003E34F2" w:rsidRDefault="003041CD">
      <w:pPr>
        <w:rPr>
          <w:color w:val="000000"/>
          <w:lang w:val="de-DE"/>
        </w:rPr>
      </w:pPr>
      <w:r>
        <w:rPr>
          <w:lang w:val="de-DE"/>
        </w:rPr>
        <w:t xml:space="preserve">(3) Besteht eine allgemeine Genehmigung, informiert der Auftragnehmer die Auftraggeberin mindestens dreißig Kalendertage vor jeder beabsichtigten Einschaltung oder Ersetzung eines Unterauftragnehmers. </w:t>
      </w:r>
      <w:r>
        <w:rPr>
          <w:rFonts w:cs="Arial"/>
          <w:color w:val="000000"/>
          <w:lang w:val="de-DE"/>
        </w:rPr>
        <w:t>Ein neuer Unterauftragnehmer darf auch im Notfall nur nach vorheriger Zustimmung der Universität Zugriff auf personenbezogene Daten erhalten.</w:t>
      </w:r>
      <w:r>
        <w:rPr>
          <w:rFonts w:cs="Arial"/>
          <w:lang w:val="de-DE"/>
        </w:rPr>
        <w:t xml:space="preserve"> </w:t>
      </w:r>
      <w:r>
        <w:rPr>
          <w:lang w:val="de-DE"/>
        </w:rPr>
        <w:t>Die Information enthält Name, Anschrift und Kontaktstelle des Unterauftragnehmers, die vorgesehene Leistung, Gegenstand, Art und Dauer der Unterbeauftragung, betroffene Daten und Personengruppen, Verarbeitungsorte, Serverstandorte, einen etwaigen Drittlandbezug, die hierfür vorgesehenen Garantien sowie weitere Unterauftragnehmer in der Leistungskette. Die Auftraggeberin kann der Einschaltung oder Ersetzung aus sachlichen Gründen widersprechen. Vor Ablauf der Widerspruchsfrist darf der neue oder ersetzende U</w:t>
      </w:r>
      <w:r>
        <w:rPr>
          <w:lang w:val="de-DE"/>
        </w:rPr>
        <w:t>nterauftragnehmer keine von dieser Vereinbarung erfassten personenbezogenen Daten verarbeiten oder Zugriff auf solche Daten erhalten. Dies gilt nicht, wenn die Auftraggeberin einem früheren Beginn in Textform zustimmt. Ohne vorherige Zustimmung ist ein vorübergehender früherer Einsatz nur zulässig, soweit er zur Abwehr einer akuten Gefahr für Sicherheit oder Verfügbarkeit zwingend erforderlich ist; er darf nicht mit einem Drittlandbezug verbunden sein, keine Erweiterung der Datenkategorien, Zwecke oder Vera</w:t>
      </w:r>
      <w:r>
        <w:rPr>
          <w:lang w:val="de-DE"/>
        </w:rPr>
        <w:t>rbeitungsvorgänge bewirken und nur in dem zwingend erforderlichen Umfang erfolgen. Der Auftragnehmer informiert die Auftraggeberin unverzüglich, begründet den Notfalleinsatz und gibt der Auftraggeberin unverzüglich Gelegenheit zum Widerspruch oder zur Erteilung weiterer Weisungen.</w:t>
      </w:r>
    </w:p>
    <w:p w14:paraId="76BD0CDD" w14:textId="77777777" w:rsidR="003E34F2" w:rsidRDefault="003041CD">
      <w:pPr>
        <w:rPr>
          <w:color w:val="000000"/>
          <w:lang w:val="de-DE"/>
        </w:rPr>
      </w:pPr>
      <w:r>
        <w:rPr>
          <w:color w:val="000000"/>
          <w:lang w:val="de-DE"/>
        </w:rPr>
        <w:t>(4) Der Auftragnehmer verpflichtet jeden Unterauftragnehmer durch Vertrag oder ein anderes rechtlich bindendes Instrument auf alle für dessen Unterverarbeitung einschlägigen Datenschutzpflichten, die erforderlich sind, um die Pflichten des Auftragnehmers aus dieser Vereinbarung zu erfüllen. Dies gilt insbesondere für Weisungsbindung, Vertraulichkeit, Sicherheit, Unterstützungspflichten, Kontrollen, Drittlandverarbeitungen, Zugriffe aus Drittländern, Rückgabe und Löschung.</w:t>
      </w:r>
    </w:p>
    <w:p w14:paraId="4DA38131" w14:textId="77777777" w:rsidR="003E34F2" w:rsidRDefault="003041CD">
      <w:pPr>
        <w:rPr>
          <w:color w:val="000000"/>
          <w:lang w:val="de-DE"/>
        </w:rPr>
      </w:pPr>
      <w:r>
        <w:rPr>
          <w:color w:val="000000"/>
          <w:lang w:val="de-DE"/>
        </w:rPr>
        <w:t xml:space="preserve">(5) Der jeweilige Unterauftragnehmer muss für seine Unterverarbeitung mindestens dasselbe oder ein gleichwertiges Schutzniveau gewährleisten. Der Auftragnehmer prüft und überwacht dies risikogerecht, dokumentiert die Prüfung und legt der Auftraggeberin auf Anforderung geeignete Nachweise vor. Der Auftragnehmer stellt der Auftraggeberin auf Verlangen eine Kopie der </w:t>
      </w:r>
      <w:r>
        <w:rPr>
          <w:color w:val="000000"/>
          <w:lang w:val="de-DE"/>
        </w:rPr>
        <w:t xml:space="preserve">Unterauftragsvereinbarung oder einen prüffähigen Auszug zur Verfügung. Geschäftsgeheimnisse und </w:t>
      </w:r>
      <w:r>
        <w:rPr>
          <w:color w:val="000000"/>
          <w:lang w:val="de-DE"/>
        </w:rPr>
        <w:lastRenderedPageBreak/>
        <w:t>nicht erforderliche personenbezogene Daten dürfen geschwärzt werden, soweit die Prüfung dadurch nicht beeinträchtigt wird.</w:t>
      </w:r>
    </w:p>
    <w:p w14:paraId="14A0239F" w14:textId="77777777" w:rsidR="003E34F2" w:rsidRDefault="003041CD">
      <w:pPr>
        <w:rPr>
          <w:color w:val="000000"/>
          <w:lang w:val="de-DE"/>
        </w:rPr>
      </w:pPr>
      <w:r>
        <w:rPr>
          <w:color w:val="000000"/>
          <w:lang w:val="de-DE"/>
        </w:rPr>
        <w:t>(6) Der Auftragnehmer bleibt gegenüber der Auftraggeberin für Handlungen und Unterlassungen seiner Unterauftragnehmer verantwortlich. Weitere Unterbeauftragungen in der Leistungskette sind nur zulässig, wenn sie in der jeweiligen Unterauftragsvereinbarung ausdrücklich erlaubt sind und die Anforderungen dieser Ziffer durchgehend eingehalten werden.</w:t>
      </w:r>
    </w:p>
    <w:p w14:paraId="5E83570A" w14:textId="77777777" w:rsidR="003E34F2" w:rsidRDefault="003041CD">
      <w:pPr>
        <w:rPr>
          <w:color w:val="000000"/>
          <w:lang w:val="de-DE"/>
        </w:rPr>
      </w:pPr>
      <w:r>
        <w:rPr>
          <w:color w:val="000000"/>
          <w:lang w:val="de-DE"/>
        </w:rPr>
        <w:t xml:space="preserve">(7) Betrifft ein Unterauftragnehmer wesentliche Teile der Verarbeitung, Daten mit erhöhtem oder hohem Schutzbedarf, Cloud-Hosting, Fernwartung, Remote-Support oder einen Drittlandbezug, trifft der Auftragnehmer angemessene vertragliche Vorkehrungen dafür, dass die Auftraggeberin bei Beendigung, Zahlungsunfähigkeit, dauerhafter Leistungsunfähigkeit oder rechtlicher Nichtexistenz des Auftragnehmers die für Rückgabe, Löschung, Nachweis und geordnete Übergabe erforderliche Mitwirkung des Unterauftragnehmers in </w:t>
      </w:r>
      <w:r>
        <w:rPr>
          <w:color w:val="000000"/>
          <w:lang w:val="de-DE"/>
        </w:rPr>
        <w:t>Anspruch nehmen kann, soweit dies rechtlich und tatsächlich möglich ist.</w:t>
      </w:r>
    </w:p>
    <w:p w14:paraId="6FAEF106" w14:textId="77777777" w:rsidR="003E34F2" w:rsidRDefault="003041CD">
      <w:pPr>
        <w:rPr>
          <w:color w:val="000000"/>
          <w:lang w:val="de-DE"/>
        </w:rPr>
      </w:pPr>
      <w:r>
        <w:rPr>
          <w:color w:val="000000"/>
          <w:lang w:val="de-DE"/>
        </w:rPr>
        <w:t xml:space="preserve">(8) Leistungen Dritter, bei denen der Dritte weder von dieser Vereinbarung </w:t>
      </w:r>
      <w:proofErr w:type="gramStart"/>
      <w:r>
        <w:rPr>
          <w:color w:val="000000"/>
          <w:lang w:val="de-DE"/>
        </w:rPr>
        <w:t>erfasste</w:t>
      </w:r>
      <w:proofErr w:type="gramEnd"/>
      <w:r>
        <w:rPr>
          <w:color w:val="000000"/>
          <w:lang w:val="de-DE"/>
        </w:rPr>
        <w:t xml:space="preserve"> personenbezogene Daten verarbeitet noch Zugriff auf solche Daten erhalten kann, gelten nicht als Unterauftragsverarbeitung. Der Auftragnehmer trägt die Darlegungs- und Nachweispflicht, wenn er sich hierauf beruft.</w:t>
      </w:r>
    </w:p>
    <w:p w14:paraId="25615D94" w14:textId="77777777" w:rsidR="003E34F2" w:rsidRDefault="003041CD">
      <w:pPr>
        <w:pStyle w:val="berschrift1"/>
        <w:rPr>
          <w:color w:val="000000"/>
          <w:lang w:val="de-DE"/>
        </w:rPr>
      </w:pPr>
      <w:r>
        <w:rPr>
          <w:lang w:val="de-DE"/>
        </w:rPr>
        <w:t>11. Rechte betroffener Personen und Unterstützungspflichten</w:t>
      </w:r>
    </w:p>
    <w:p w14:paraId="234FCDE9" w14:textId="77777777" w:rsidR="003E34F2" w:rsidRDefault="003041CD">
      <w:pPr>
        <w:rPr>
          <w:color w:val="000000"/>
          <w:lang w:val="de-DE"/>
        </w:rPr>
      </w:pPr>
      <w:r>
        <w:rPr>
          <w:color w:val="000000"/>
          <w:lang w:val="de-DE"/>
        </w:rPr>
        <w:t>(1) Die Auftraggeberin bleibt für die Bearbeitung von Anfragen und Anträgen betroffener Personen verantwortlich. Der Auftragnehmer unterstützt die Auftraggeberin unter Berücksichtigung der Art der Verarbeitung durch geeignete technische und organisatorische Maßnahmen, soweit dies erforderlich ist, damit die Auftraggeberin ihre Pflichten nach den Artikeln 12 bis 23 DSGVO erfüllen kann.</w:t>
      </w:r>
    </w:p>
    <w:p w14:paraId="479B20A3" w14:textId="77777777" w:rsidR="003E34F2" w:rsidRDefault="003041CD">
      <w:pPr>
        <w:rPr>
          <w:color w:val="000000"/>
          <w:lang w:val="de-DE"/>
        </w:rPr>
      </w:pPr>
      <w:r>
        <w:rPr>
          <w:color w:val="000000"/>
          <w:lang w:val="de-DE"/>
        </w:rPr>
        <w:t xml:space="preserve">(2) Erhält der Auftragnehmer eine Anfrage oder einen Antrag einer betroffenen Person, die oder der sich auf von dieser Vereinbarung erfasste personenbezogene Daten beziehen kann, leitet er die Anfrage oder den Antrag unverzüglich, spätestens innerhalb von zwei Arbeitstagen, an die Auftraggeberin weiter. Der Auftragnehmer beantwortet solche Anfragen und Anträge nicht selbst, es sei denn, die Auftraggeberin hat ihn hierzu dokumentiert angewiesen oder der Auftragnehmer ist gesetzlich zur Antwort verpflichtet. </w:t>
      </w:r>
      <w:r>
        <w:rPr>
          <w:color w:val="000000"/>
          <w:lang w:val="de-DE"/>
        </w:rPr>
        <w:t>In diesem Fall informiert er die Auftraggeberin unverzüglich, soweit dies rechtlich zulässig ist.</w:t>
      </w:r>
    </w:p>
    <w:p w14:paraId="253FE183" w14:textId="77777777" w:rsidR="003E34F2" w:rsidRDefault="003041CD">
      <w:pPr>
        <w:rPr>
          <w:color w:val="000000"/>
          <w:lang w:val="de-DE"/>
        </w:rPr>
      </w:pPr>
      <w:r>
        <w:rPr>
          <w:color w:val="000000"/>
          <w:lang w:val="de-DE"/>
        </w:rPr>
        <w:t>(3) Der Auftragnehmer setzt dokumentierte Weisungen der Auftraggeberin zur Wahrung der Rechte betroffener Personen um. Dies umfasst insbesondere Recherche, Vorbereitung von Auskünften, Bereitstellung oder Export von Daten, Berichtigung, Löschung, Einschränkung der Verarbeitung, Sperrung von Zugriffen, Wiederherstellung und Nachweis der vorgenommenen Maßnahmen, soweit dies nach Art der Verarbeitung erforderlich und technisch möglich ist.</w:t>
      </w:r>
    </w:p>
    <w:p w14:paraId="1EBB1F55" w14:textId="77777777" w:rsidR="003E34F2" w:rsidRDefault="003041CD">
      <w:pPr>
        <w:rPr>
          <w:color w:val="000000"/>
          <w:lang w:val="de-DE"/>
        </w:rPr>
      </w:pPr>
      <w:r>
        <w:rPr>
          <w:color w:val="000000"/>
          <w:lang w:val="de-DE"/>
        </w:rPr>
        <w:t>(4) Der Auftragnehmer unterstützt die Auftraggeberin unter Berücksichtigung der Art der Verarbeitung und der ihm zur Verfügung stehenden Informationen bei der Einhaltung der Pflichten aus den Artikeln 32 bis 36 DSGVO, soweit die von dieser Vereinbarung erfasste Verarbeitung betroffen ist. Dies umfasst insbesondere die Unterstützung bei Sicherheitsmaßnahmen, bei der Bewertung und Meldung von Verletzungen des Schutzes personenbezogener Daten, bei Benachrichtigungen betroffener Personen, bei Datenschutz-Folgen</w:t>
      </w:r>
      <w:r>
        <w:rPr>
          <w:color w:val="000000"/>
          <w:lang w:val="de-DE"/>
        </w:rPr>
        <w:t>abschätzungen und bei vorherigen Konsultationen.</w:t>
      </w:r>
    </w:p>
    <w:p w14:paraId="0BADB0F6" w14:textId="77777777" w:rsidR="003E34F2" w:rsidRDefault="003041CD">
      <w:pPr>
        <w:rPr>
          <w:color w:val="000000"/>
          <w:lang w:val="de-DE"/>
        </w:rPr>
      </w:pPr>
      <w:r>
        <w:rPr>
          <w:color w:val="000000"/>
          <w:lang w:val="de-DE"/>
        </w:rPr>
        <w:t>(5) Die Unterstützung erfolgt unverzüglich und so rechtzeitig, dass die Auftraggeberin gesetzliche Fristen wahren kann. Ist eine Unterstützung im Einzelfall nicht oder nicht rechtzeitig möglich, teilt der Auftragnehmer der Auftraggeberin dies unverzüglich unter Angabe der Gründe mit.</w:t>
      </w:r>
    </w:p>
    <w:p w14:paraId="216A7FDF" w14:textId="77777777" w:rsidR="003E34F2" w:rsidRDefault="003041CD">
      <w:pPr>
        <w:pStyle w:val="berschrift1"/>
        <w:rPr>
          <w:color w:val="000000"/>
          <w:lang w:val="de-DE"/>
        </w:rPr>
      </w:pPr>
      <w:r>
        <w:rPr>
          <w:lang w:val="de-DE"/>
        </w:rPr>
        <w:lastRenderedPageBreak/>
        <w:t>12. Sicherheitsvorfälle</w:t>
      </w:r>
    </w:p>
    <w:p w14:paraId="0DB851D3" w14:textId="77777777" w:rsidR="003E34F2" w:rsidRDefault="003041CD">
      <w:pPr>
        <w:rPr>
          <w:color w:val="000000"/>
          <w:lang w:val="de-DE"/>
        </w:rPr>
      </w:pPr>
      <w:r>
        <w:rPr>
          <w:color w:val="000000"/>
          <w:lang w:val="de-DE"/>
        </w:rPr>
        <w:t>(1) Der Auftragnehmer informiert die Auftraggeberin unverzüglich, spätestens innerhalb von vierundzwanzig Stunden, nachdem ihm der Vorfall bekannt geworden ist, über jede Verletzung des Schutzes personenbezogener Daten und jeden begründeten Verdacht auf eine solche Verletzung, soweit von dieser Vereinbarung erfasste personenbezogene Daten betroffen sein können. Der Auftragnehmer unterstützt die Auftraggeberin auch dann, wenn der Vorfall seinen Ursprung im Verantwortungs- oder Systembereich der Auftraggeberi</w:t>
      </w:r>
      <w:r>
        <w:rPr>
          <w:color w:val="000000"/>
          <w:lang w:val="de-DE"/>
        </w:rPr>
        <w:t>n hat, Systeme, Schnittstellen, Protokolldaten, Unterauftragnehmer oder eingesetzte Personen des Auftragnehmers aber für die Aufklärung oder Eindämmung relevant sein können.</w:t>
      </w:r>
    </w:p>
    <w:p w14:paraId="7327CDE3" w14:textId="77777777" w:rsidR="003E34F2" w:rsidRDefault="003041CD">
      <w:pPr>
        <w:rPr>
          <w:color w:val="000000"/>
          <w:lang w:val="de-DE"/>
        </w:rPr>
      </w:pPr>
      <w:r>
        <w:rPr>
          <w:color w:val="000000"/>
          <w:lang w:val="de-DE"/>
        </w:rPr>
        <w:t>(2) Die Meldung enthält, soweit verfügbar, die Art des Vorfalls, den Zeitpunkt oder Zeitraum, die betroffenen Systeme, die betroffenen Datenarten und Personengruppen, die ungefähre Zahl betroffener Personen und Datensätze, die wahrscheinlichen Folgen, bereits ergriffene oder vorgeschlagene Maßnahmen des Auftragnehmers, eine Kontaktstelle des Auftragnehmers für Rückfragen sowie eine Einschätzung, ob weitere Informationen folgen.</w:t>
      </w:r>
    </w:p>
    <w:p w14:paraId="59126D2F" w14:textId="77777777" w:rsidR="003E34F2" w:rsidRDefault="003041CD">
      <w:pPr>
        <w:rPr>
          <w:color w:val="000000"/>
          <w:lang w:val="de-DE"/>
        </w:rPr>
      </w:pPr>
      <w:r>
        <w:rPr>
          <w:color w:val="000000"/>
          <w:lang w:val="de-DE"/>
        </w:rPr>
        <w:t>(3) Der Auftragnehmer aktualisiert seine Meldung unverzüglich, sobald ihm weitere erhebliche Informationen vorliegen. Er unterstützt die Auftraggeberin bei der Aufklärung, Eindämmung, Wiederherstellung, Dokumentation, Nachweisführung, Vorbereitung der Kommunikation sowie bei der Bewertung von Melde- oder Benachrichtigungspflichten.</w:t>
      </w:r>
    </w:p>
    <w:p w14:paraId="32F37752" w14:textId="77777777" w:rsidR="003E34F2" w:rsidRDefault="003041CD">
      <w:pPr>
        <w:rPr>
          <w:color w:val="000000"/>
          <w:lang w:val="de-DE"/>
        </w:rPr>
      </w:pPr>
      <w:r>
        <w:rPr>
          <w:color w:val="000000"/>
          <w:lang w:val="de-DE"/>
        </w:rPr>
        <w:t>(4) Meldungen an Aufsichtsbehörden und Benachrichtigungen betroffener Personen erfolgen durch die Auftraggeberin, soweit der Auftragnehmer nicht gesetzlich zu einer eigenen Erklärung verpflichtet ist oder die Auftraggeberin ihn hierzu dokumentiert anweist.</w:t>
      </w:r>
    </w:p>
    <w:p w14:paraId="41355710" w14:textId="77777777" w:rsidR="003E34F2" w:rsidRDefault="003041CD">
      <w:pPr>
        <w:pStyle w:val="berschrift1"/>
        <w:rPr>
          <w:color w:val="000000"/>
          <w:lang w:val="de-DE"/>
        </w:rPr>
      </w:pPr>
      <w:r>
        <w:rPr>
          <w:lang w:val="de-DE"/>
        </w:rPr>
        <w:t>13. Nachweise und Kontrollen</w:t>
      </w:r>
    </w:p>
    <w:p w14:paraId="3659C539" w14:textId="77777777" w:rsidR="003E34F2" w:rsidRDefault="003041CD">
      <w:pPr>
        <w:rPr>
          <w:color w:val="000000"/>
          <w:lang w:val="de-DE"/>
        </w:rPr>
      </w:pPr>
      <w:r>
        <w:rPr>
          <w:color w:val="000000"/>
          <w:lang w:val="de-DE"/>
        </w:rPr>
        <w:t>(1) Der Auftragnehmer stellt der Auftraggeberin auf Anforderung die Informationen zur Verfügung, die erforderlich sind, um die Einhaltung der Pflichten aus Artikel 28 DSGVO und aus dieser Vereinbarung nachzuweisen.</w:t>
      </w:r>
    </w:p>
    <w:p w14:paraId="2CEFEF54" w14:textId="77777777" w:rsidR="003E34F2" w:rsidRDefault="003041CD">
      <w:pPr>
        <w:rPr>
          <w:color w:val="000000"/>
          <w:lang w:val="de-DE"/>
        </w:rPr>
      </w:pPr>
      <w:r>
        <w:rPr>
          <w:color w:val="000000"/>
          <w:lang w:val="de-DE"/>
        </w:rPr>
        <w:t>(2) Die Auftraggeberin darf die Einhaltung dieser Vereinbarung selbst oder durch von ihr beauftragte geeignete und zur Vertraulichkeit verpflichtete Personen prüfen. Prüfungen können insbesondere im Wege der Prüfung von Unterlagen, der Beantwortung von Fragebögen, durch Gespräche, durch Vorlage technischer Nachweise, durch Prüfungen aus der Ferne oder durch Vor-Ort-Prüfungen erfolgen.</w:t>
      </w:r>
    </w:p>
    <w:p w14:paraId="0BBD3845" w14:textId="77777777" w:rsidR="003E34F2" w:rsidRDefault="003041CD">
      <w:pPr>
        <w:rPr>
          <w:color w:val="000000"/>
          <w:lang w:val="de-DE"/>
        </w:rPr>
      </w:pPr>
      <w:r>
        <w:rPr>
          <w:color w:val="000000"/>
          <w:lang w:val="de-DE"/>
        </w:rPr>
        <w:t>(3) Vor-Ort-Prüfungen erfolgen mit angemessener vorheriger Ankündigung, während der üblichen Geschäftszeiten und unter Beachtung berechtigter Sicherheits- und Geheimhaltungsinteressen des Auftragnehmers. Bei einem konkreten Verdacht auf einen schwerwiegenden Verstoß, bei einem Sicherheitsvorfall oder bei Gefahr im Verzug kann die Ankündigungsfrist angemessen verkürzt werden.</w:t>
      </w:r>
    </w:p>
    <w:p w14:paraId="75245EDE" w14:textId="77777777" w:rsidR="003E34F2" w:rsidRDefault="003041CD">
      <w:pPr>
        <w:rPr>
          <w:color w:val="000000"/>
          <w:lang w:val="de-DE"/>
        </w:rPr>
      </w:pPr>
      <w:r>
        <w:rPr>
          <w:color w:val="000000"/>
          <w:lang w:val="de-DE"/>
        </w:rPr>
        <w:t>(4) Der Auftragnehmer darf eine Prüfung nicht allein unter Hinweis auf Geschäftsgeheimnisse oder Sicherheitsinteressen verweigern. Er kann angemessene Schutzmaßnahmen verlangen, etwa die Einsichtnahme in einer gesicherten Umgebung, die Schwärzung nicht erforderlicher Informationen oder die Vorlage zusammenfassender Prüfberichte, soweit dadurch eine wirksame Prüfung möglich bleibt.</w:t>
      </w:r>
    </w:p>
    <w:p w14:paraId="0F586682" w14:textId="77777777" w:rsidR="003E34F2" w:rsidRDefault="003041CD">
      <w:pPr>
        <w:rPr>
          <w:color w:val="000000"/>
          <w:lang w:val="de-DE"/>
        </w:rPr>
      </w:pPr>
      <w:r>
        <w:rPr>
          <w:color w:val="000000"/>
          <w:lang w:val="de-DE"/>
        </w:rPr>
        <w:t>(5) Aktuelle Zertifizierungen, Prüfberichte und genehmigte Verhaltensregeln können als Nachweise berücksichtigt werden, soweit sie die von dieser Vereinbarung erfasste Verarbeitung betreffen. Sie ersetzen die Kontrollrechte der Auftraggeberin nicht.</w:t>
      </w:r>
    </w:p>
    <w:p w14:paraId="4D614671" w14:textId="77777777" w:rsidR="003E34F2" w:rsidRDefault="003041CD">
      <w:pPr>
        <w:rPr>
          <w:color w:val="000000"/>
          <w:lang w:val="de-DE"/>
        </w:rPr>
      </w:pPr>
      <w:r>
        <w:rPr>
          <w:color w:val="000000"/>
          <w:lang w:val="de-DE"/>
        </w:rPr>
        <w:lastRenderedPageBreak/>
        <w:t>(6) Ergibt eine Prüfung Mängel, legt der Auftragnehmer der Auftraggeberin unverzüglich angemessene Maßnahmen und Fristen zur Abhilfe vor. Schwerwiegende Mängel sind unverzüglich zu beheben. Bis zur vollständigen Abhilfe darf die Auftraggeberin risikobegrenzende Weisungen erteilen.</w:t>
      </w:r>
    </w:p>
    <w:p w14:paraId="27D84640" w14:textId="77777777" w:rsidR="003E34F2" w:rsidRDefault="003041CD">
      <w:pPr>
        <w:pStyle w:val="berschrift1"/>
        <w:rPr>
          <w:color w:val="000000"/>
          <w:lang w:val="de-DE"/>
        </w:rPr>
      </w:pPr>
      <w:r>
        <w:rPr>
          <w:lang w:val="de-DE"/>
        </w:rPr>
        <w:t>14. Berichtigung, Einschränkung, Rückgabe und Löschung</w:t>
      </w:r>
    </w:p>
    <w:p w14:paraId="2F0BDFFD" w14:textId="77777777" w:rsidR="003E34F2" w:rsidRDefault="003041CD">
      <w:pPr>
        <w:rPr>
          <w:color w:val="000000"/>
          <w:lang w:val="de-DE"/>
        </w:rPr>
      </w:pPr>
      <w:r>
        <w:rPr>
          <w:color w:val="000000"/>
          <w:lang w:val="de-DE"/>
        </w:rPr>
        <w:t>(1) Der Auftragnehmer berichtigt oder löscht von dieser Vereinbarung erfasste personenbezogene Daten oder schränkt deren Verarbeitung nur nach dokumentierter Weisung der Auftraggeberin ein, soweit keine gesetzliche Pflicht des Auftragnehmers entgegensteht.</w:t>
      </w:r>
    </w:p>
    <w:p w14:paraId="759CC579" w14:textId="77777777" w:rsidR="003E34F2" w:rsidRDefault="003041CD">
      <w:pPr>
        <w:rPr>
          <w:color w:val="000000"/>
          <w:lang w:val="de-DE"/>
        </w:rPr>
      </w:pPr>
      <w:r>
        <w:rPr>
          <w:color w:val="000000"/>
          <w:lang w:val="de-DE"/>
        </w:rPr>
        <w:t>(2) Kopien, Auszüge oder sonstige Vervielfältigungen von dieser Vereinbarung erfasster personenbezogener Daten dürfen nur erstellt werden, soweit dies zur Erbringung der datenbezogenen Leistung, zur Sicherheit, zur Nachweisführung, zur Fehleranalyse oder zur Erfüllung gesetzlicher Aufbewahrungspflichten erforderlich ist. Nicht mehr erforderliche Kopien, Auszüge und sonstige Vervielfältigungen sind unverzüglich zu löschen.</w:t>
      </w:r>
    </w:p>
    <w:p w14:paraId="1A50A79F" w14:textId="77777777" w:rsidR="003E34F2" w:rsidRDefault="003041CD">
      <w:pPr>
        <w:rPr>
          <w:color w:val="000000"/>
          <w:lang w:val="de-DE"/>
        </w:rPr>
      </w:pPr>
      <w:r>
        <w:rPr>
          <w:color w:val="000000"/>
          <w:lang w:val="de-DE"/>
        </w:rPr>
        <w:t>(3) Nach Abschluss der Verarbeitung oder bereits zuvor nach dokumentierter Weisung der Auftraggeberin gibt der Auftragnehmer nach Wahl der Auftraggeberin alle von dieser Vereinbarung erfassten personenbezogenen Daten zurück oder löscht sie datenschutzgerecht. Dies umfasst auch Unterlagen, Arbeitskopien, Testdaten, Protokolldaten, Exportdateien und sonstige Verarbeitungsergebnisse, soweit sie personenbezogene Daten enthalten.</w:t>
      </w:r>
    </w:p>
    <w:p w14:paraId="233B518F" w14:textId="77777777" w:rsidR="003E34F2" w:rsidRDefault="003041CD">
      <w:pPr>
        <w:rPr>
          <w:color w:val="000000"/>
          <w:lang w:val="de-DE"/>
        </w:rPr>
      </w:pPr>
      <w:r>
        <w:rPr>
          <w:color w:val="000000"/>
          <w:lang w:val="de-DE"/>
        </w:rPr>
        <w:t xml:space="preserve">(4) Der Auftragnehmer bezieht seine Unterauftragnehmer in die Rückgabe und Löschung ein. Er bestätigt der Auftraggeberin unaufgefordert in Textform, dass keine von dieser Vereinbarung erfassten personenbezogenen Daten mehr bei ihm oder seinen Unterauftragnehmern verbleiben, soweit keine gesetzliche Aufbewahrungspflicht besteht. Die Bestätigung muss erkennen lassen, welche Daten zurückgegeben oder gelöscht wurden, zu welchem Zeitpunkt dies erfolgt ist, welches Rückgabe- oder Löschverfahren angewendet wurde, </w:t>
      </w:r>
      <w:r>
        <w:rPr>
          <w:color w:val="000000"/>
          <w:lang w:val="de-DE"/>
        </w:rPr>
        <w:t>ob Unterauftragnehmer einbezogen wurden und wie mit Sicherungskopien verfahren wird.</w:t>
      </w:r>
    </w:p>
    <w:p w14:paraId="35B4A9C6" w14:textId="77777777" w:rsidR="003E34F2" w:rsidRDefault="003041CD">
      <w:pPr>
        <w:rPr>
          <w:color w:val="000000"/>
          <w:lang w:val="de-DE"/>
        </w:rPr>
      </w:pPr>
      <w:r>
        <w:rPr>
          <w:color w:val="000000"/>
          <w:lang w:val="de-DE"/>
        </w:rPr>
        <w:t>(5) Bestehen gesetzliche Aufbewahrungspflichten, darf der Auftragnehmer die hiervon betroffenen Daten nur so lange und nur in dem Umfang speichern, wie dies zur Erfüllung dieser Pflichten erforderlich ist. Er schließt eine Verarbeitung zu anderen Zwecken aus und informiert die Auftraggeberin über Rechtsgrundlage, Umfang und Dauer der Aufbewahrung.</w:t>
      </w:r>
    </w:p>
    <w:p w14:paraId="6EE1EE10" w14:textId="77777777" w:rsidR="003E34F2" w:rsidRDefault="003041CD">
      <w:pPr>
        <w:rPr>
          <w:color w:val="000000"/>
          <w:lang w:val="de-DE"/>
        </w:rPr>
      </w:pPr>
      <w:r>
        <w:rPr>
          <w:lang w:val="de-DE"/>
        </w:rPr>
        <w:t>(6) Sicherungskopien dürfen bis zur regulären Überschreibung nach dem Sicherungskonzept, längstens jedoch bis zum Ablauf der im Sicherungskonzept definierten Aufbewahrungsfristen nach Beendigung der vertraglichen Leistungserbringung fortbestehen, wenn sie nicht produktiv verarbeitet werden, keinem Zugriff außerhalb des Sicherungs- und Wiederherstellungszwecks unterliegen und angemessen geschützt sind. Abweichende längere Fristen bedürfen der vorherigen Freigabe der Auftraggeberin in Textform und sind mit Zw</w:t>
      </w:r>
      <w:r>
        <w:rPr>
          <w:lang w:val="de-DE"/>
        </w:rPr>
        <w:t>eck, Dauer, Schutzmaßnahmen und Wiederherstellungsbeschränkungen zu dokumentieren. Werden Sicherungskopien wiederhergestellt, stellt der Auftragnehmer sicher, dass bereits gelöschte Daten erneut gelöscht und bereits eingeschränkte Daten erneut eingeschränkt werden, soweit dies technisch und organisatorisch möglich ist.</w:t>
      </w:r>
    </w:p>
    <w:p w14:paraId="6C76D38C" w14:textId="77777777" w:rsidR="003E34F2" w:rsidRDefault="003041CD">
      <w:pPr>
        <w:rPr>
          <w:color w:val="000000"/>
          <w:lang w:val="de-DE"/>
        </w:rPr>
      </w:pPr>
      <w:r>
        <w:rPr>
          <w:color w:val="000000"/>
          <w:lang w:val="de-DE"/>
        </w:rPr>
        <w:t>(7) Ein Zurückbehaltungsrecht an von dieser Vereinbarung erfassten personenbezogenen Daten, Datenträgern, Exporten oder Unterlagen der Auftraggeberin ist ausgeschlossen. Zahlungs- oder sonstige Streitigkeiten aus dem zugrunde liegenden Leistungs- oder Vergütungsverhältnis begründen kein Zurückbehaltungsrecht an diesen Daten, Datenträgern, Exporten oder Unterlagen.</w:t>
      </w:r>
    </w:p>
    <w:p w14:paraId="259E85E4" w14:textId="77777777" w:rsidR="003E34F2" w:rsidRDefault="003041CD">
      <w:pPr>
        <w:pStyle w:val="berschrift1"/>
        <w:rPr>
          <w:color w:val="000000"/>
          <w:lang w:val="de-DE"/>
        </w:rPr>
      </w:pPr>
      <w:r>
        <w:rPr>
          <w:lang w:val="de-DE"/>
        </w:rPr>
        <w:t>15. Störungen, Behördenmaßnahmen, Pfändung und Insolvenz</w:t>
      </w:r>
    </w:p>
    <w:p w14:paraId="4D83422F" w14:textId="77777777" w:rsidR="003E34F2" w:rsidRDefault="003041CD">
      <w:pPr>
        <w:rPr>
          <w:color w:val="000000"/>
          <w:lang w:val="de-DE"/>
        </w:rPr>
      </w:pPr>
      <w:r>
        <w:rPr>
          <w:color w:val="000000"/>
          <w:lang w:val="de-DE"/>
        </w:rPr>
        <w:t xml:space="preserve">(1) Der Auftragnehmer informiert die Auftraggeberin unverzüglich über schwerwiegende Betriebsstörungen, erhebliche Sicherheitsmängel, Unregelmäßigkeiten bei der Verarbeitung sowie </w:t>
      </w:r>
      <w:r>
        <w:rPr>
          <w:color w:val="000000"/>
          <w:lang w:val="de-DE"/>
        </w:rPr>
        <w:lastRenderedPageBreak/>
        <w:t>über Kontrollen, Anfragen, Anordnungen oder sonstige Maßnahmen von Aufsichts-, Ermittlungs- oder sonstigen Behörden, soweit von dieser Vereinbarung erfasste personenbezogene Daten betroffen sein können.</w:t>
      </w:r>
    </w:p>
    <w:p w14:paraId="3F8EF46B" w14:textId="77777777" w:rsidR="003E34F2" w:rsidRDefault="003041CD">
      <w:pPr>
        <w:rPr>
          <w:color w:val="000000"/>
          <w:lang w:val="de-DE"/>
        </w:rPr>
      </w:pPr>
      <w:r>
        <w:rPr>
          <w:color w:val="000000"/>
          <w:lang w:val="de-DE"/>
        </w:rPr>
        <w:t>(2) Der Auftragnehmer informiert die Auftraggeberin unverzüglich, wenn von dieser Vereinbarung erfasste personenbezogene Daten von Pfändung, Beschlagnahme, Vollstreckungsmaßnahmen, Insolvenz-, Restrukturierungs- oder vergleichbaren Verfahren, geltend gemachten Zurückbehaltungsrechten, Ansprüchen Dritter oder sonstigen Zugriffen Dritter betroffen sein können. Soweit dies rechtlich zulässig ist, weist der Auftragnehmer Dritte darauf hin, dass die betreffenden Daten im Auftrag der Auftraggeberin verarbeitet we</w:t>
      </w:r>
      <w:r>
        <w:rPr>
          <w:color w:val="000000"/>
          <w:lang w:val="de-DE"/>
        </w:rPr>
        <w:t>rden und nicht der freien Verfügung des Auftragnehmers unterliegen.</w:t>
      </w:r>
    </w:p>
    <w:p w14:paraId="6A438390" w14:textId="77777777" w:rsidR="003E34F2" w:rsidRDefault="003041CD">
      <w:pPr>
        <w:rPr>
          <w:color w:val="000000"/>
          <w:lang w:val="de-DE"/>
        </w:rPr>
      </w:pPr>
      <w:r>
        <w:rPr>
          <w:color w:val="000000"/>
          <w:lang w:val="de-DE"/>
        </w:rPr>
        <w:t>(3) Der Auftragnehmer informiert die Auftraggeberin unverzüglich über wirtschaftliche, organisatorische oder technische Umstände, die eine ordnungsgemäße Fortführung der von dieser Vereinbarung erfassten Verarbeitung gefährden können.</w:t>
      </w:r>
    </w:p>
    <w:p w14:paraId="3B1B0B39" w14:textId="77777777" w:rsidR="003E34F2" w:rsidRDefault="003041CD">
      <w:pPr>
        <w:pStyle w:val="berschrift1"/>
        <w:rPr>
          <w:color w:val="000000"/>
          <w:lang w:val="de-DE"/>
        </w:rPr>
      </w:pPr>
      <w:r>
        <w:rPr>
          <w:lang w:val="de-DE"/>
        </w:rPr>
        <w:t>16. Haftung, Innenausgleich und Versicherung</w:t>
      </w:r>
    </w:p>
    <w:p w14:paraId="178A505E" w14:textId="77777777" w:rsidR="003E34F2" w:rsidRDefault="003041CD">
      <w:pPr>
        <w:rPr>
          <w:color w:val="000000"/>
          <w:lang w:val="de-DE"/>
        </w:rPr>
      </w:pPr>
      <w:r>
        <w:rPr>
          <w:color w:val="000000"/>
          <w:lang w:val="de-DE"/>
        </w:rPr>
        <w:t>(1) Die Haftung gegenüber betroffenen Personen richtet sich nach den gesetzlichen Vorschriften, insbesondere nach Artikel 82 DSGVO. Diese Vereinbarung beschränkt Ansprüche betroffener Personen gegen die Auftraggeberin oder den Auftragnehmer nicht.</w:t>
      </w:r>
    </w:p>
    <w:p w14:paraId="3039E4A4" w14:textId="77777777" w:rsidR="003E34F2" w:rsidRDefault="003041CD">
      <w:pPr>
        <w:rPr>
          <w:color w:val="000000"/>
          <w:lang w:val="de-DE"/>
        </w:rPr>
      </w:pPr>
      <w:r>
        <w:rPr>
          <w:color w:val="000000"/>
          <w:lang w:val="de-DE"/>
        </w:rPr>
        <w:t>(2) Im Innenverhältnis trägt der Auftragnehmer Schäden, Aufwendungen, Kosten und sonstige Nachteile, soweit sie seinem Verantwortungs- oder Verursachungsbeitrag zuzurechnen sind. Dies gilt insbesondere, wenn sie auf einer Verletzung seiner Pflichten aus dieser Vereinbarung, einer Verletzung gesetzlicher Pflichten, die ihn als Auftragsverarbeiter treffen, einer rechtswidrigen Umsetzung einer Weisung, einer weisungswidrigen Verarbeitung, einer unzulässigen Drittlandverarbeitung oder einer Handlung oder Unterl</w:t>
      </w:r>
      <w:r>
        <w:rPr>
          <w:color w:val="000000"/>
          <w:lang w:val="de-DE"/>
        </w:rPr>
        <w:t>assung seiner Unterauftragnehmer beruhen. Ein Ausgleich für Geldbußen, Sanktionen oder sonstige öffentlich-rechtliche Nachteile erfolgt nur, soweit dies gesetzlich zulässig ist.</w:t>
      </w:r>
    </w:p>
    <w:p w14:paraId="38052DC9" w14:textId="77777777" w:rsidR="003E34F2" w:rsidRDefault="003041CD">
      <w:pPr>
        <w:rPr>
          <w:color w:val="000000"/>
          <w:lang w:val="de-DE"/>
        </w:rPr>
      </w:pPr>
      <w:r>
        <w:rPr>
          <w:color w:val="000000"/>
          <w:lang w:val="de-DE"/>
        </w:rPr>
        <w:t>(3) Der Auftragnehmer stellt die Auftraggeberin von Ansprüchen Dritter frei, soweit diese Ansprüche auf einem in Absatz 2 genannten Umstand beruhen und dem Verantwortungs- oder Verursachungsbeitrag des Auftragnehmers zuzurechnen sind. Die Freistellung umfasst auch angemessene und erforderliche Kosten der Rechtsverteidigung, der Sachverhaltsaufklärung, der Wiederherstellung, erforderlicher Benachrichtigungen und der Erfüllung berechtigter Ansprüche, soweit diese Kosten dem Auftragnehmer zuzurechnen sind.</w:t>
      </w:r>
    </w:p>
    <w:p w14:paraId="39BA596D" w14:textId="77777777" w:rsidR="003E34F2" w:rsidRDefault="003041CD">
      <w:pPr>
        <w:rPr>
          <w:color w:val="000000"/>
          <w:lang w:val="de-DE"/>
        </w:rPr>
      </w:pPr>
      <w:r>
        <w:rPr>
          <w:color w:val="000000"/>
          <w:lang w:val="de-DE"/>
        </w:rPr>
        <w:t>(4) Soweit beide Parteien für einen Schaden verantwortlich sind, erfolgt der Innenausgleich nach Maßgabe ihres jeweiligen Verantwortungs- und Verursachungsbeitrags. Artikel 82 Absatz 5 DSGVO bleibt unberührt.</w:t>
      </w:r>
    </w:p>
    <w:p w14:paraId="3D058988" w14:textId="77777777" w:rsidR="003E34F2" w:rsidRDefault="003041CD">
      <w:pPr>
        <w:rPr>
          <w:color w:val="000000"/>
          <w:lang w:val="de-DE"/>
        </w:rPr>
      </w:pPr>
      <w:r>
        <w:rPr>
          <w:color w:val="000000"/>
          <w:lang w:val="de-DE"/>
        </w:rPr>
        <w:t>(5) Haftungsbeschränkungen im zugrunde liegenden Leistungs- oder Vergütungsverhältnis gelten für Ansprüche und Ausgleichspflichten nach dieser Ziffer nicht, soweit sie Ansprüche betroffener Personen, zwingende gesetzliche Ansprüche, vorsätzliche oder grob fahrlässige Pflichtverletzungen, Verletzungen der Vertraulichkeit, unzulässige Eigenverarbeitung, unzulässige Drittlandverarbeitung oder Verletzungen wesentlicher Datenschutz- und Sicherheitsanforderungen betreffen. Im Übrigen gelten Haftungsbeschränkungen</w:t>
      </w:r>
      <w:r>
        <w:rPr>
          <w:color w:val="000000"/>
          <w:lang w:val="de-DE"/>
        </w:rPr>
        <w:t xml:space="preserve"> nur, soweit sie gesetzlich zulässig sind und dieser Vereinbarung nicht widersprechen.</w:t>
      </w:r>
    </w:p>
    <w:p w14:paraId="187A0591" w14:textId="77777777" w:rsidR="003E34F2" w:rsidRDefault="003041CD">
      <w:pPr>
        <w:rPr>
          <w:color w:val="000000"/>
          <w:lang w:val="de-DE"/>
        </w:rPr>
      </w:pPr>
      <w:r>
        <w:rPr>
          <w:color w:val="000000"/>
          <w:lang w:val="de-DE"/>
        </w:rPr>
        <w:t xml:space="preserve">(6) Bei erhöhtem oder hohem Schutzbedarf legt der Auftragnehmer vor Beginn der Verarbeitung einen geeigneten Nachweis über eine dem Risiko angemessene und marktübliche Haftpflicht-, Cyber- oder vergleichbare Versicherung vor, soweit die Auftraggeberin hierauf nicht in Textform verzichtet. Der Versicherungsschutz ist während der Laufzeit der Verarbeitung aufrechtzuerhalten. Nach Beendigung der Verarbeitung stellt der Auftragnehmer, soweit marktüblich und nach Art und Risiko der </w:t>
      </w:r>
      <w:r>
        <w:rPr>
          <w:color w:val="000000"/>
          <w:lang w:val="de-DE"/>
        </w:rPr>
        <w:lastRenderedPageBreak/>
        <w:t>Verarbeitung angemessen, eine Nachdeckung oder Nachmeldefrist für Ansprüche sicher, die während der Laufzeit entstanden sein können.</w:t>
      </w:r>
    </w:p>
    <w:p w14:paraId="1C345961" w14:textId="77777777" w:rsidR="003E34F2" w:rsidRDefault="003041CD">
      <w:pPr>
        <w:rPr>
          <w:color w:val="000000"/>
          <w:lang w:val="de-DE"/>
        </w:rPr>
      </w:pPr>
      <w:r>
        <w:rPr>
          <w:color w:val="000000"/>
          <w:lang w:val="de-DE"/>
        </w:rPr>
        <w:t>(7) Die Parteien informieren sich unverzüglich über geltend gemachte Ansprüche, behördliche oder gerichtliche Verfahren sowie sonstige Umstände, die zu einer Haftung oder einem Innenausgleich nach dieser Ziffer führen können. Der Auftragnehmer erkennt Ansprüche nicht an und schließt keinen Vergleich, soweit dadurch Rechte der Auftraggeberin oder ein möglicher Innenausgleich berührt werden können, ohne zuvor die Zustimmung der Auftraggeberin in Textform einzuholen. Die Auftraggeberin gibt dem Auftragnehmer v</w:t>
      </w:r>
      <w:r>
        <w:rPr>
          <w:color w:val="000000"/>
          <w:lang w:val="de-DE"/>
        </w:rPr>
        <w:t>or einem Anerkenntnis oder Vergleich Gelegenheit zur Stellungnahme, soweit dadurch Rechte des Auftragnehmers oder ein möglicher Innenausgleich berührt werden können und gesetzliche Fristen, behördliche Anforderungen, prozessuale Obliegenheiten oder sonstige berechtigte Interessen der Auftraggeberin dem nicht entgegenstehen. Zwingende gesetzliche Pflichten und Maßnahmen zur Fristwahrung, Schadenminderung oder Abwehr rechtlicher Nachteile bleiben unberührt.</w:t>
      </w:r>
    </w:p>
    <w:p w14:paraId="1F559F94" w14:textId="77777777" w:rsidR="003E34F2" w:rsidRDefault="003041CD">
      <w:pPr>
        <w:pStyle w:val="berschrift1"/>
        <w:rPr>
          <w:color w:val="000000"/>
          <w:lang w:val="de-DE"/>
        </w:rPr>
      </w:pPr>
      <w:r>
        <w:rPr>
          <w:lang w:val="de-DE"/>
        </w:rPr>
        <w:t>17. Vergütung datenschutzrechtlicher Mitwirkung</w:t>
      </w:r>
    </w:p>
    <w:p w14:paraId="32D7B33A" w14:textId="77777777" w:rsidR="003E34F2" w:rsidRDefault="003041CD">
      <w:pPr>
        <w:rPr>
          <w:color w:val="000000"/>
          <w:lang w:val="de-DE"/>
        </w:rPr>
      </w:pPr>
      <w:r>
        <w:rPr>
          <w:color w:val="000000"/>
          <w:lang w:val="de-DE"/>
        </w:rPr>
        <w:t>(1) Die Pflichten des Auftragnehmers aus dieser Vereinbarung sind mit der für die datenbezogene Leistung vereinbarten Vergütung abgegolten, soweit die Parteien nicht ausdrücklich in Textform eine gesonderte Vergütung vereinbart haben.</w:t>
      </w:r>
    </w:p>
    <w:p w14:paraId="18039655" w14:textId="77777777" w:rsidR="003E34F2" w:rsidRDefault="003041CD">
      <w:pPr>
        <w:rPr>
          <w:color w:val="000000"/>
          <w:lang w:val="de-DE"/>
        </w:rPr>
      </w:pPr>
      <w:r>
        <w:rPr>
          <w:color w:val="000000"/>
          <w:lang w:val="de-DE"/>
        </w:rPr>
        <w:t>(2) Eine zusätzliche Vergütung kann der Auftragnehmer nur verlangen, wenn die Parteien sie vor Beginn der jeweiligen Tätigkeit in Textform vereinbart haben, die Tätigkeit über die gesetzlichen und vertraglichen Pflichten des Auftragnehmers sowie über den gewöhnlichen Umfang des Auftrags wesentlich hinausgeht und der Aufwand nicht durch eine Pflichtverletzung, einen Mangel, einen Sicherheitsvorfall, unzureichende Nachweise oder sonstige Umstände aus dem Verantwortungsbereich des Auftragnehmers veranlasst wur</w:t>
      </w:r>
      <w:r>
        <w:rPr>
          <w:color w:val="000000"/>
          <w:lang w:val="de-DE"/>
        </w:rPr>
        <w:t>de.</w:t>
      </w:r>
    </w:p>
    <w:p w14:paraId="5CAB01AF" w14:textId="77777777" w:rsidR="003E34F2" w:rsidRDefault="003041CD">
      <w:pPr>
        <w:pStyle w:val="berschrift1"/>
        <w:rPr>
          <w:color w:val="000000"/>
          <w:lang w:val="de-DE"/>
        </w:rPr>
      </w:pPr>
      <w:r>
        <w:rPr>
          <w:lang w:val="de-DE"/>
        </w:rPr>
        <w:t>18. Vertragsverstöße und außerordentliche Kündigung</w:t>
      </w:r>
    </w:p>
    <w:p w14:paraId="276C895E" w14:textId="77777777" w:rsidR="003E34F2" w:rsidRDefault="003041CD">
      <w:pPr>
        <w:rPr>
          <w:color w:val="000000"/>
          <w:lang w:val="de-DE"/>
        </w:rPr>
      </w:pPr>
      <w:r>
        <w:rPr>
          <w:color w:val="000000"/>
          <w:lang w:val="de-DE"/>
        </w:rPr>
        <w:t>(1) Die Auftraggeberin kann das zugrunde liegende Vertragsverhältnis und den Auftragsverarbeitungsvertrag ganz oder teilweise außerordentlich kündigen, wenn der Auftragnehmer wesentliche Pflichten aus dieser Vereinbarung verletzt und den Verstoß nach Aufforderung nicht innerhalb einer angemessenen Frist abstellt.</w:t>
      </w:r>
    </w:p>
    <w:p w14:paraId="09DE991E" w14:textId="77777777" w:rsidR="003E34F2" w:rsidRDefault="003041CD">
      <w:pPr>
        <w:rPr>
          <w:color w:val="000000"/>
          <w:lang w:val="de-DE"/>
        </w:rPr>
      </w:pPr>
      <w:r>
        <w:rPr>
          <w:color w:val="000000"/>
          <w:lang w:val="de-DE"/>
        </w:rPr>
        <w:t>(2) Eine Fristsetzung ist entbehrlich, wenn der Verstoß so schwer wiegt, dass der Auftraggeberin eine Fortsetzung der betroffenen Verarbeitung oder des Vertragsverhältnisses nicht zumutbar ist. Dies gilt insbesondere bei unzulässiger Eigenverarbeitung, unzulässiger Drittlandverarbeitung, Verweigerung rechtmäßiger Weisungen, erheblicher Verletzung von Sicherheitsanforderungen, unzulässigem Einsatz von Unterauftragnehmern, Verweigerung zulässiger Kontrollen oder wiederholten Verletzungen von Melde- und Unters</w:t>
      </w:r>
      <w:r>
        <w:rPr>
          <w:color w:val="000000"/>
          <w:lang w:val="de-DE"/>
        </w:rPr>
        <w:t>tützungspflichten.</w:t>
      </w:r>
    </w:p>
    <w:p w14:paraId="3BA4CFB1" w14:textId="77777777" w:rsidR="003E34F2" w:rsidRDefault="003041CD">
      <w:pPr>
        <w:rPr>
          <w:color w:val="000000"/>
          <w:lang w:val="de-DE"/>
        </w:rPr>
      </w:pPr>
      <w:r>
        <w:rPr>
          <w:color w:val="000000"/>
          <w:lang w:val="de-DE"/>
        </w:rPr>
        <w:t>(3) Sonstige gesetzliche oder vertragliche Kündigungsrechte bleiben unberührt. Pflichten zur Vertraulichkeit, Rückgabe, Löschung und Nachweisführung sowie Haftungs- und Ausgleichsregelungen bleiben nach Vertragsende bestehen. Dies gilt insbesondere, soweit sie für die Abwicklung der Verarbeitung, die Rückgabe oder Löschung personenbezogener Daten, die Erfüllung gesetzlicher Pflichten, die Wahrung von Nachweis- und Aufbewahrungsfristen oder die Durchsetzung und Abwehr von Ansprüchen erforderlich sind.</w:t>
      </w:r>
    </w:p>
    <w:p w14:paraId="3CC09131" w14:textId="77777777" w:rsidR="003E34F2" w:rsidRDefault="003041CD">
      <w:pPr>
        <w:pStyle w:val="berschrift1"/>
        <w:rPr>
          <w:color w:val="000000"/>
          <w:lang w:val="de-DE"/>
        </w:rPr>
      </w:pPr>
      <w:r>
        <w:rPr>
          <w:lang w:val="de-DE"/>
        </w:rPr>
        <w:t>19. Schlussbestimmungen</w:t>
      </w:r>
    </w:p>
    <w:p w14:paraId="428EE11D" w14:textId="77777777" w:rsidR="003E34F2" w:rsidRDefault="003041CD">
      <w:pPr>
        <w:rPr>
          <w:color w:val="000000"/>
          <w:lang w:val="de-DE"/>
        </w:rPr>
      </w:pPr>
      <w:r>
        <w:rPr>
          <w:color w:val="000000"/>
          <w:lang w:val="de-DE"/>
        </w:rPr>
        <w:t xml:space="preserve">(1) Änderungen und Ergänzungen dieser Vereinbarung bedürfen der Textform, soweit gesetzlich keine strengere Form vorgeschrieben ist. Der Abschluss, die Änderung und die Ergänzung dieser </w:t>
      </w:r>
      <w:r>
        <w:rPr>
          <w:color w:val="000000"/>
          <w:lang w:val="de-DE"/>
        </w:rPr>
        <w:lastRenderedPageBreak/>
        <w:t>Vereinbarung in elektronischem Format genügen den Anforderungen des Artikels 28 Absatz 9 DSGVO.</w:t>
      </w:r>
    </w:p>
    <w:p w14:paraId="7E5EE6FB" w14:textId="77777777" w:rsidR="003E34F2" w:rsidRDefault="003041CD">
      <w:pPr>
        <w:rPr>
          <w:color w:val="000000"/>
          <w:lang w:val="de-DE"/>
        </w:rPr>
      </w:pPr>
      <w:r>
        <w:rPr>
          <w:color w:val="000000"/>
          <w:lang w:val="de-DE"/>
        </w:rPr>
        <w:t>(2) Keine Partei ist berechtigt, für die andere Partei rechtsverbindliche Erklärungen abzugeben oder Vereinbarungen mit Dritten zu schließen, soweit dies nicht ausdrücklich in Textform vereinbart ist.</w:t>
      </w:r>
    </w:p>
    <w:p w14:paraId="19D01609" w14:textId="77777777" w:rsidR="003E34F2" w:rsidRDefault="003041CD">
      <w:pPr>
        <w:rPr>
          <w:color w:val="000000"/>
          <w:lang w:val="de-DE"/>
        </w:rPr>
      </w:pPr>
      <w:r>
        <w:rPr>
          <w:color w:val="000000"/>
          <w:lang w:val="de-DE"/>
        </w:rPr>
        <w:t>(3) Diese Vereinbarung unterliegt dem Recht der Bundesrepublik Deutschland. Zwingendes Recht der Europäischen Union, insbesondere die DSGVO, bleibt unberührt.</w:t>
      </w:r>
    </w:p>
    <w:p w14:paraId="5EEA0BA5" w14:textId="77777777" w:rsidR="003E34F2" w:rsidRDefault="003041CD">
      <w:pPr>
        <w:rPr>
          <w:color w:val="000000"/>
          <w:lang w:val="de-DE"/>
        </w:rPr>
      </w:pPr>
      <w:r>
        <w:rPr>
          <w:color w:val="000000"/>
          <w:lang w:val="de-DE"/>
        </w:rPr>
        <w:t>(4) Gerichtsstand ist, soweit gesetzlich zulässig, Frankfurt am Main.</w:t>
      </w:r>
    </w:p>
    <w:p w14:paraId="53CD9181" w14:textId="77777777" w:rsidR="003E34F2" w:rsidRDefault="003041CD">
      <w:pPr>
        <w:rPr>
          <w:color w:val="000000"/>
          <w:lang w:val="de-DE"/>
        </w:rPr>
      </w:pPr>
      <w:r>
        <w:rPr>
          <w:color w:val="000000"/>
          <w:lang w:val="de-DE"/>
        </w:rPr>
        <w:t>(5) Ist oder wird eine Bestimmung dieser Vereinbarung unwirksam oder undurchführbar, bleibt die Wirksamkeit der übrigen Bestimmungen unberührt. Die Parteien werden darauf hinwirken, die unwirksame oder undurchführbare Bestimmung durch eine wirksame Regelung zu ersetzen, die dem rechtlichen, datenschutzrechtlichen und wirtschaftlichen Zweck der ursprünglichen Bestimmung möglichst nahekommt.</w:t>
      </w:r>
    </w:p>
    <w:tbl>
      <w:tblPr>
        <w:tblW w:w="0" w:type="auto"/>
        <w:jc w:val="center"/>
        <w:tblLook w:val="04A0" w:firstRow="1" w:lastRow="0" w:firstColumn="1" w:lastColumn="0" w:noHBand="0" w:noVBand="1"/>
      </w:tblPr>
      <w:tblGrid>
        <w:gridCol w:w="4986"/>
        <w:gridCol w:w="4986"/>
      </w:tblGrid>
      <w:tr w:rsidR="003E34F2" w14:paraId="36A4060F" w14:textId="77777777">
        <w:trPr>
          <w:jc w:val="center"/>
        </w:trPr>
        <w:tc>
          <w:tcPr>
            <w:tcW w:w="4986" w:type="dxa"/>
            <w:tcBorders>
              <w:top w:val="none" w:sz="4" w:space="0" w:color="000000"/>
              <w:left w:val="none" w:sz="4" w:space="0" w:color="000000"/>
              <w:bottom w:val="none" w:sz="4" w:space="0" w:color="000000"/>
              <w:right w:val="none" w:sz="4" w:space="0" w:color="000000"/>
            </w:tcBorders>
            <w:tcMar>
              <w:top w:w="110" w:type="dxa"/>
              <w:left w:w="120" w:type="dxa"/>
              <w:bottom w:w="110" w:type="dxa"/>
              <w:right w:w="120" w:type="dxa"/>
            </w:tcMar>
          </w:tcPr>
          <w:p w14:paraId="1053F688" w14:textId="77777777" w:rsidR="003E34F2" w:rsidRDefault="003041CD">
            <w:pPr>
              <w:rPr>
                <w:lang w:val="de-DE"/>
              </w:rPr>
            </w:pPr>
            <w:r>
              <w:rPr>
                <w:b/>
                <w:lang w:val="de-DE"/>
              </w:rPr>
              <w:t>Für die Auftraggeberin</w:t>
            </w:r>
          </w:p>
        </w:tc>
        <w:tc>
          <w:tcPr>
            <w:tcW w:w="4986" w:type="dxa"/>
            <w:tcBorders>
              <w:top w:val="none" w:sz="4" w:space="0" w:color="000000"/>
              <w:left w:val="none" w:sz="4" w:space="0" w:color="000000"/>
              <w:bottom w:val="none" w:sz="4" w:space="0" w:color="000000"/>
              <w:right w:val="none" w:sz="4" w:space="0" w:color="000000"/>
            </w:tcBorders>
            <w:tcMar>
              <w:top w:w="110" w:type="dxa"/>
              <w:left w:w="120" w:type="dxa"/>
              <w:bottom w:w="110" w:type="dxa"/>
              <w:right w:w="120" w:type="dxa"/>
            </w:tcMar>
          </w:tcPr>
          <w:p w14:paraId="00256BC5" w14:textId="77777777" w:rsidR="003E34F2" w:rsidRDefault="003041CD">
            <w:pPr>
              <w:rPr>
                <w:lang w:val="de-DE"/>
              </w:rPr>
            </w:pPr>
            <w:r>
              <w:rPr>
                <w:b/>
                <w:lang w:val="de-DE"/>
              </w:rPr>
              <w:t>Für den Auftragnehmer</w:t>
            </w:r>
          </w:p>
        </w:tc>
      </w:tr>
      <w:tr w:rsidR="003E34F2" w14:paraId="59D80252" w14:textId="77777777">
        <w:trPr>
          <w:jc w:val="center"/>
        </w:trPr>
        <w:tc>
          <w:tcPr>
            <w:tcW w:w="4986" w:type="dxa"/>
            <w:tcBorders>
              <w:top w:val="none" w:sz="4" w:space="0" w:color="000000"/>
              <w:left w:val="none" w:sz="4" w:space="0" w:color="000000"/>
              <w:bottom w:val="none" w:sz="4" w:space="0" w:color="000000"/>
              <w:right w:val="none" w:sz="4" w:space="0" w:color="000000"/>
            </w:tcBorders>
            <w:tcMar>
              <w:top w:w="110" w:type="dxa"/>
              <w:left w:w="120" w:type="dxa"/>
              <w:bottom w:w="110" w:type="dxa"/>
              <w:right w:w="120" w:type="dxa"/>
            </w:tcMar>
          </w:tcPr>
          <w:p w14:paraId="4D894EB5" w14:textId="77777777" w:rsidR="003E34F2" w:rsidRDefault="003041CD">
            <w:pPr>
              <w:rPr>
                <w:lang w:val="de-DE"/>
              </w:rPr>
            </w:pPr>
            <w:r>
              <w:rPr>
                <w:lang w:val="de-DE"/>
              </w:rPr>
              <w:t>Frankfurt am Main, den __________________</w:t>
            </w:r>
          </w:p>
        </w:tc>
        <w:tc>
          <w:tcPr>
            <w:tcW w:w="4986" w:type="dxa"/>
            <w:tcBorders>
              <w:top w:val="none" w:sz="4" w:space="0" w:color="000000"/>
              <w:left w:val="none" w:sz="4" w:space="0" w:color="000000"/>
              <w:bottom w:val="none" w:sz="4" w:space="0" w:color="000000"/>
              <w:right w:val="none" w:sz="4" w:space="0" w:color="000000"/>
            </w:tcBorders>
            <w:tcMar>
              <w:top w:w="110" w:type="dxa"/>
              <w:left w:w="120" w:type="dxa"/>
              <w:bottom w:w="110" w:type="dxa"/>
              <w:right w:w="120" w:type="dxa"/>
            </w:tcMar>
          </w:tcPr>
          <w:p w14:paraId="279D5524" w14:textId="77777777" w:rsidR="003E34F2" w:rsidRDefault="003041CD">
            <w:pPr>
              <w:rPr>
                <w:lang w:val="de-DE"/>
              </w:rPr>
            </w:pPr>
            <w:r>
              <w:rPr>
                <w:lang w:val="de-DE"/>
              </w:rPr>
              <w:t>Ort, Datum: ____________________</w:t>
            </w:r>
          </w:p>
        </w:tc>
      </w:tr>
      <w:tr w:rsidR="003E34F2" w14:paraId="68D2D984" w14:textId="77777777">
        <w:trPr>
          <w:jc w:val="center"/>
        </w:trPr>
        <w:tc>
          <w:tcPr>
            <w:tcW w:w="4986" w:type="dxa"/>
            <w:tcBorders>
              <w:top w:val="none" w:sz="4" w:space="0" w:color="000000"/>
              <w:left w:val="none" w:sz="4" w:space="0" w:color="000000"/>
              <w:bottom w:val="none" w:sz="4" w:space="0" w:color="000000"/>
              <w:right w:val="none" w:sz="4" w:space="0" w:color="000000"/>
            </w:tcBorders>
            <w:tcMar>
              <w:top w:w="110" w:type="dxa"/>
              <w:left w:w="120" w:type="dxa"/>
              <w:bottom w:w="110" w:type="dxa"/>
              <w:right w:w="120" w:type="dxa"/>
            </w:tcMar>
          </w:tcPr>
          <w:p w14:paraId="4EDDDF20" w14:textId="77777777" w:rsidR="003E34F2" w:rsidRDefault="003E34F2">
            <w:pPr>
              <w:rPr>
                <w:lang w:val="de-DE"/>
              </w:rPr>
            </w:pPr>
          </w:p>
          <w:p w14:paraId="30C5B893" w14:textId="77777777" w:rsidR="003E34F2" w:rsidRDefault="003041CD">
            <w:pPr>
              <w:rPr>
                <w:lang w:val="de-DE"/>
              </w:rPr>
            </w:pPr>
            <w:r>
              <w:rPr>
                <w:lang w:val="de-DE"/>
              </w:rPr>
              <w:t>____________________________</w:t>
            </w:r>
          </w:p>
        </w:tc>
        <w:tc>
          <w:tcPr>
            <w:tcW w:w="4986" w:type="dxa"/>
            <w:tcBorders>
              <w:top w:val="none" w:sz="4" w:space="0" w:color="000000"/>
              <w:left w:val="none" w:sz="4" w:space="0" w:color="000000"/>
              <w:bottom w:val="none" w:sz="4" w:space="0" w:color="000000"/>
              <w:right w:val="none" w:sz="4" w:space="0" w:color="000000"/>
            </w:tcBorders>
            <w:tcMar>
              <w:top w:w="110" w:type="dxa"/>
              <w:left w:w="120" w:type="dxa"/>
              <w:bottom w:w="110" w:type="dxa"/>
              <w:right w:w="120" w:type="dxa"/>
            </w:tcMar>
          </w:tcPr>
          <w:p w14:paraId="2C46B319" w14:textId="77777777" w:rsidR="003E34F2" w:rsidRDefault="003E34F2">
            <w:pPr>
              <w:rPr>
                <w:lang w:val="de-DE"/>
              </w:rPr>
            </w:pPr>
          </w:p>
          <w:p w14:paraId="2F519BCD" w14:textId="77777777" w:rsidR="003E34F2" w:rsidRDefault="003041CD">
            <w:pPr>
              <w:rPr>
                <w:lang w:val="de-DE"/>
              </w:rPr>
            </w:pPr>
            <w:r>
              <w:rPr>
                <w:lang w:val="de-DE"/>
              </w:rPr>
              <w:t>____________________________</w:t>
            </w:r>
          </w:p>
        </w:tc>
      </w:tr>
      <w:tr w:rsidR="003E34F2" w14:paraId="40418D26" w14:textId="77777777">
        <w:trPr>
          <w:jc w:val="center"/>
        </w:trPr>
        <w:tc>
          <w:tcPr>
            <w:tcW w:w="4986" w:type="dxa"/>
            <w:tcBorders>
              <w:top w:val="none" w:sz="4" w:space="0" w:color="000000"/>
              <w:left w:val="none" w:sz="4" w:space="0" w:color="000000"/>
              <w:bottom w:val="none" w:sz="4" w:space="0" w:color="000000"/>
              <w:right w:val="none" w:sz="4" w:space="0" w:color="000000"/>
            </w:tcBorders>
            <w:tcMar>
              <w:top w:w="110" w:type="dxa"/>
              <w:left w:w="120" w:type="dxa"/>
              <w:bottom w:w="110" w:type="dxa"/>
              <w:right w:w="120" w:type="dxa"/>
            </w:tcMar>
          </w:tcPr>
          <w:p w14:paraId="7BEF992E" w14:textId="77777777" w:rsidR="003E34F2" w:rsidRDefault="003041CD">
            <w:pPr>
              <w:rPr>
                <w:lang w:val="de-DE"/>
              </w:rPr>
            </w:pPr>
            <w:r>
              <w:rPr>
                <w:lang w:val="de-DE"/>
              </w:rPr>
              <w:t>Name / Funktion</w:t>
            </w:r>
          </w:p>
        </w:tc>
        <w:tc>
          <w:tcPr>
            <w:tcW w:w="4986" w:type="dxa"/>
            <w:tcBorders>
              <w:top w:val="none" w:sz="4" w:space="0" w:color="000000"/>
              <w:left w:val="none" w:sz="4" w:space="0" w:color="000000"/>
              <w:bottom w:val="none" w:sz="4" w:space="0" w:color="000000"/>
              <w:right w:val="none" w:sz="4" w:space="0" w:color="000000"/>
            </w:tcBorders>
            <w:tcMar>
              <w:top w:w="110" w:type="dxa"/>
              <w:left w:w="120" w:type="dxa"/>
              <w:bottom w:w="110" w:type="dxa"/>
              <w:right w:w="120" w:type="dxa"/>
            </w:tcMar>
          </w:tcPr>
          <w:p w14:paraId="31D4800F" w14:textId="77777777" w:rsidR="003E34F2" w:rsidRDefault="003041CD">
            <w:pPr>
              <w:rPr>
                <w:lang w:val="de-DE"/>
              </w:rPr>
            </w:pPr>
            <w:r>
              <w:rPr>
                <w:lang w:val="de-DE"/>
              </w:rPr>
              <w:t>Name / Funktion</w:t>
            </w:r>
          </w:p>
        </w:tc>
      </w:tr>
    </w:tbl>
    <w:p w14:paraId="2DD0D282" w14:textId="77777777" w:rsidR="003E34F2" w:rsidRDefault="003E34F2">
      <w:pPr>
        <w:rPr>
          <w:lang w:val="de-DE"/>
        </w:rPr>
      </w:pPr>
    </w:p>
    <w:p w14:paraId="3F2887B0" w14:textId="77777777" w:rsidR="003E34F2" w:rsidRDefault="003E34F2">
      <w:pPr>
        <w:rPr>
          <w:lang w:val="de-DE"/>
        </w:rPr>
      </w:pPr>
    </w:p>
    <w:sectPr w:rsidR="003E34F2">
      <w:headerReference w:type="default" r:id="rId8"/>
      <w:footerReference w:type="default" r:id="rId9"/>
      <w:pgSz w:w="12240" w:h="15840"/>
      <w:pgMar w:top="1077" w:right="1134" w:bottom="964" w:left="1134" w:header="454"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EC2B2" w14:textId="77777777" w:rsidR="003041CD" w:rsidRDefault="003041CD">
      <w:pPr>
        <w:spacing w:after="0" w:line="240" w:lineRule="auto"/>
      </w:pPr>
      <w:r>
        <w:separator/>
      </w:r>
    </w:p>
  </w:endnote>
  <w:endnote w:type="continuationSeparator" w:id="0">
    <w:p w14:paraId="5FEC89F8" w14:textId="77777777" w:rsidR="003041CD" w:rsidRDefault="0030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D1724" w14:textId="6D73E4D1" w:rsidR="003E34F2" w:rsidRDefault="003041CD">
    <w:pPr>
      <w:pStyle w:val="ContractSmall"/>
      <w:jc w:val="center"/>
    </w:pPr>
    <w:r>
      <w:t xml:space="preserve">Vertragsfassung v2.0 | Stand </w:t>
    </w:r>
    <w:r w:rsidR="00DD77DB">
      <w:t>20.08</w:t>
    </w:r>
    <w: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CB446" w14:textId="77777777" w:rsidR="003041CD" w:rsidRDefault="003041CD">
      <w:pPr>
        <w:spacing w:after="0" w:line="240" w:lineRule="auto"/>
      </w:pPr>
      <w:r>
        <w:separator/>
      </w:r>
    </w:p>
  </w:footnote>
  <w:footnote w:type="continuationSeparator" w:id="0">
    <w:p w14:paraId="42FE464C" w14:textId="77777777" w:rsidR="003041CD" w:rsidRDefault="00304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EE0A2" w14:textId="77777777" w:rsidR="003E34F2" w:rsidRDefault="003041CD">
    <w:pPr>
      <w:pStyle w:val="ContractSmall"/>
      <w:jc w:val="right"/>
      <w:rPr>
        <w:lang w:val="de-DE"/>
      </w:rPr>
    </w:pPr>
    <w:r>
      <w:rPr>
        <w:lang w:val="de-DE"/>
      </w:rPr>
      <w:t>Goethe-Universität Frankfurt am Main | Vereinbarung über Auftragsverarbeitung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A21C9D72"/>
    <w:lvl w:ilvl="0">
      <w:start w:val="1"/>
      <w:numFmt w:val="decimal"/>
      <w:lvlText w:val="%1."/>
      <w:lvlJc w:val="left"/>
      <w:pPr>
        <w:tabs>
          <w:tab w:val="num" w:pos="1800"/>
        </w:tabs>
        <w:ind w:left="180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FFFFFF7D"/>
    <w:multiLevelType w:val="multilevel"/>
    <w:tmpl w:val="A950E866"/>
    <w:lvl w:ilvl="0">
      <w:start w:val="1"/>
      <w:numFmt w:val="decimal"/>
      <w:lvlText w:val="%1."/>
      <w:lvlJc w:val="left"/>
      <w:pPr>
        <w:tabs>
          <w:tab w:val="num" w:pos="1440"/>
        </w:tabs>
        <w:ind w:left="144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FFFFFF7E"/>
    <w:multiLevelType w:val="multilevel"/>
    <w:tmpl w:val="00787C7C"/>
    <w:lvl w:ilvl="0">
      <w:start w:val="1"/>
      <w:numFmt w:val="decimal"/>
      <w:pStyle w:val="Listennummer3"/>
      <w:lvlText w:val="%1."/>
      <w:lvlJc w:val="left"/>
      <w:pPr>
        <w:tabs>
          <w:tab w:val="num" w:pos="1080"/>
        </w:tabs>
        <w:ind w:left="108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FFFFFF7F"/>
    <w:multiLevelType w:val="multilevel"/>
    <w:tmpl w:val="6248E7B0"/>
    <w:lvl w:ilvl="0">
      <w:start w:val="1"/>
      <w:numFmt w:val="decimal"/>
      <w:pStyle w:val="Listennummer2"/>
      <w:lvlText w:val="%1."/>
      <w:lvlJc w:val="left"/>
      <w:pPr>
        <w:tabs>
          <w:tab w:val="num" w:pos="720"/>
        </w:tabs>
        <w:ind w:left="72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FFFFFF81"/>
    <w:multiLevelType w:val="multilevel"/>
    <w:tmpl w:val="DC869910"/>
    <w:lvl w:ilvl="0">
      <w:start w:val="1"/>
      <w:numFmt w:val="bullet"/>
      <w:lvlText w:val=""/>
      <w:lvlJc w:val="left"/>
      <w:pPr>
        <w:tabs>
          <w:tab w:val="num" w:pos="1440"/>
        </w:tabs>
        <w:ind w:left="144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FFFFFF82"/>
    <w:multiLevelType w:val="multilevel"/>
    <w:tmpl w:val="5602F9F0"/>
    <w:lvl w:ilvl="0">
      <w:start w:val="1"/>
      <w:numFmt w:val="bullet"/>
      <w:pStyle w:val="Aufzhlungszeichen3"/>
      <w:lvlText w:val=""/>
      <w:lvlJc w:val="left"/>
      <w:pPr>
        <w:tabs>
          <w:tab w:val="num" w:pos="1080"/>
        </w:tabs>
        <w:ind w:left="108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FFFFFF83"/>
    <w:multiLevelType w:val="multilevel"/>
    <w:tmpl w:val="B8426768"/>
    <w:lvl w:ilvl="0">
      <w:start w:val="1"/>
      <w:numFmt w:val="bullet"/>
      <w:pStyle w:val="Aufzhlungszeichen2"/>
      <w:lvlText w:val=""/>
      <w:lvlJc w:val="left"/>
      <w:pPr>
        <w:tabs>
          <w:tab w:val="num" w:pos="720"/>
        </w:tabs>
        <w:ind w:left="72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FFFFFF88"/>
    <w:multiLevelType w:val="multilevel"/>
    <w:tmpl w:val="7026E2C8"/>
    <w:lvl w:ilvl="0">
      <w:start w:val="1"/>
      <w:numFmt w:val="decimal"/>
      <w:pStyle w:val="Listennumm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FFFFFF89"/>
    <w:multiLevelType w:val="multilevel"/>
    <w:tmpl w:val="974CAB58"/>
    <w:lvl w:ilvl="0">
      <w:start w:val="1"/>
      <w:numFmt w:val="bullet"/>
      <w:pStyle w:val="Aufzhlungszeichen"/>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2D4911C3"/>
    <w:multiLevelType w:val="multilevel"/>
    <w:tmpl w:val="57B2CD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79069589">
    <w:abstractNumId w:val="8"/>
  </w:num>
  <w:num w:numId="2" w16cid:durableId="860585082">
    <w:abstractNumId w:val="6"/>
  </w:num>
  <w:num w:numId="3" w16cid:durableId="292448451">
    <w:abstractNumId w:val="5"/>
  </w:num>
  <w:num w:numId="4" w16cid:durableId="897014262">
    <w:abstractNumId w:val="4"/>
  </w:num>
  <w:num w:numId="5" w16cid:durableId="2015450846">
    <w:abstractNumId w:val="7"/>
  </w:num>
  <w:num w:numId="6" w16cid:durableId="2121298877">
    <w:abstractNumId w:val="3"/>
  </w:num>
  <w:num w:numId="7" w16cid:durableId="620502039">
    <w:abstractNumId w:val="2"/>
  </w:num>
  <w:num w:numId="8" w16cid:durableId="39138169">
    <w:abstractNumId w:val="1"/>
  </w:num>
  <w:num w:numId="9" w16cid:durableId="1019816020">
    <w:abstractNumId w:val="0"/>
  </w:num>
  <w:num w:numId="10" w16cid:durableId="285275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clQkM5b8HjUuR1bpqP31NWLPZpIyX0+nd85bV4FuyE0ZvtJrZCbLlk00Ol0hTmTGx+tZ18zyrKoHekrYrhf2yA==" w:salt="K2LqklzlsSUPN84YEi1YUQ=="/>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4F2"/>
    <w:rsid w:val="00077DCD"/>
    <w:rsid w:val="000F1EAB"/>
    <w:rsid w:val="003041CD"/>
    <w:rsid w:val="00341BA8"/>
    <w:rsid w:val="003E34F2"/>
    <w:rsid w:val="005A03E1"/>
    <w:rsid w:val="00DD7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A186B"/>
  <w15:docId w15:val="{FE83A3B9-DBFF-4D6B-B972-4715D9271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00" w:line="259" w:lineRule="auto"/>
    </w:pPr>
    <w:rPr>
      <w:rFonts w:ascii="Arial" w:eastAsia="Arial" w:hAnsi="Arial"/>
    </w:rPr>
  </w:style>
  <w:style w:type="paragraph" w:styleId="berschrift1">
    <w:name w:val="heading 1"/>
    <w:basedOn w:val="Standard"/>
    <w:next w:val="Standard"/>
    <w:link w:val="berschrift1Zchn"/>
    <w:uiPriority w:val="9"/>
    <w:qFormat/>
    <w:pPr>
      <w:keepNext/>
      <w:keepLines/>
      <w:spacing w:before="240" w:after="120"/>
      <w:outlineLvl w:val="0"/>
    </w:pPr>
    <w:rPr>
      <w:rFonts w:asciiTheme="majorHAnsi" w:eastAsiaTheme="majorEastAsia" w:hAnsiTheme="majorHAnsi" w:cstheme="majorBidi"/>
      <w:b/>
      <w:bCs/>
      <w:color w:val="202020"/>
      <w:sz w:val="26"/>
      <w:szCs w:val="28"/>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Theme="majorHAnsi" w:eastAsiaTheme="majorEastAsia" w:hAnsiTheme="majorHAnsi" w:cstheme="majorBidi"/>
      <w:b/>
      <w:bCs/>
      <w:color w:val="202020"/>
      <w:sz w:val="23"/>
      <w:szCs w:val="26"/>
    </w:rPr>
  </w:style>
  <w:style w:type="paragraph" w:styleId="berschrift3">
    <w:name w:val="heading 3"/>
    <w:basedOn w:val="Standard"/>
    <w:next w:val="Standard"/>
    <w:link w:val="berschrift3Zchn"/>
    <w:uiPriority w:val="9"/>
    <w:unhideWhenUsed/>
    <w:qFormat/>
    <w:pPr>
      <w:keepNext/>
      <w:keepLines/>
      <w:spacing w:before="120" w:after="60"/>
      <w:outlineLvl w:val="2"/>
    </w:pPr>
    <w:rPr>
      <w:rFonts w:asciiTheme="majorHAnsi" w:eastAsiaTheme="majorEastAsia" w:hAnsiTheme="majorHAnsi" w:cstheme="majorBidi"/>
      <w:b/>
      <w:bCs/>
      <w:color w:val="202020"/>
    </w:rPr>
  </w:style>
  <w:style w:type="paragraph" w:styleId="berschrift4">
    <w:name w:val="heading 4"/>
    <w:basedOn w:val="Standard"/>
    <w:next w:val="Standard"/>
    <w:link w:val="berschrift4Zchn"/>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otnoteTextChar">
    <w:name w:val="Footnote Text Char"/>
    <w:basedOn w:val="Absatz-Standardschriftar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365F9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365F91" w:themeColor="accent1" w:themeShade="BF"/>
    </w:rPr>
  </w:style>
  <w:style w:type="character" w:customStyle="1" w:styleId="Heading5Char">
    <w:name w:val="Heading 5 Char"/>
    <w:basedOn w:val="Absatz-Standardschriftart"/>
    <w:uiPriority w:val="9"/>
    <w:rPr>
      <w:rFonts w:ascii="Arial" w:eastAsia="Arial" w:hAnsi="Arial" w:cs="Arial"/>
      <w:color w:val="365F9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customStyle="1" w:styleId="IntenseQuoteChar">
    <w:name w:val="Intense Quote Char"/>
    <w:basedOn w:val="Absatz-Standardschriftart"/>
    <w:uiPriority w:val="30"/>
    <w:rPr>
      <w:i/>
      <w:iCs/>
      <w:color w:val="365F91" w:themeColor="accent1" w:themeShade="BF"/>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000FF" w:themeColor="hyperlink"/>
      <w:u w:val="single"/>
    </w:rPr>
  </w:style>
  <w:style w:type="character" w:styleId="BesuchterLink">
    <w:name w:val="FollowedHyperlink"/>
    <w:basedOn w:val="Absatz-Standardschriftart"/>
    <w:uiPriority w:val="99"/>
    <w:semiHidden/>
    <w:unhideWhenUsed/>
    <w:rPr>
      <w:color w:val="800080" w:themeColor="followedHyperlink"/>
      <w:u w:val="single"/>
    </w:rPr>
  </w:style>
  <w:style w:type="paragraph" w:styleId="Verzeichnis1">
    <w:name w:val="toc 1"/>
    <w:basedOn w:val="Standard"/>
    <w:next w:val="Standard"/>
    <w:uiPriority w:val="39"/>
    <w:unhideWhenUsed/>
  </w:style>
  <w:style w:type="paragraph" w:styleId="Verzeichnis2">
    <w:name w:val="toc 2"/>
    <w:basedOn w:val="Standard"/>
    <w:next w:val="Standard"/>
    <w:uiPriority w:val="39"/>
    <w:unhideWhenUsed/>
    <w:pPr>
      <w:ind w:left="220"/>
    </w:pPr>
  </w:style>
  <w:style w:type="paragraph" w:styleId="Verzeichnis3">
    <w:name w:val="toc 3"/>
    <w:basedOn w:val="Standard"/>
    <w:next w:val="Standard"/>
    <w:uiPriority w:val="39"/>
    <w:unhideWhenUsed/>
    <w:pPr>
      <w:ind w:left="440"/>
    </w:pPr>
  </w:style>
  <w:style w:type="paragraph" w:styleId="Verzeichnis4">
    <w:name w:val="toc 4"/>
    <w:basedOn w:val="Standard"/>
    <w:next w:val="Standard"/>
    <w:uiPriority w:val="39"/>
    <w:unhideWhenUsed/>
    <w:pPr>
      <w:ind w:left="660"/>
    </w:pPr>
  </w:style>
  <w:style w:type="paragraph" w:styleId="Verzeichnis5">
    <w:name w:val="toc 5"/>
    <w:basedOn w:val="Standard"/>
    <w:next w:val="Standard"/>
    <w:uiPriority w:val="39"/>
    <w:unhideWhenUsed/>
    <w:pPr>
      <w:ind w:left="880"/>
    </w:pPr>
  </w:style>
  <w:style w:type="paragraph" w:styleId="Verzeichnis6">
    <w:name w:val="toc 6"/>
    <w:basedOn w:val="Standard"/>
    <w:next w:val="Standard"/>
    <w:uiPriority w:val="39"/>
    <w:unhideWhenUsed/>
    <w:pPr>
      <w:ind w:left="1100"/>
    </w:pPr>
  </w:style>
  <w:style w:type="paragraph" w:styleId="Verzeichnis7">
    <w:name w:val="toc 7"/>
    <w:basedOn w:val="Standard"/>
    <w:next w:val="Standard"/>
    <w:uiPriority w:val="39"/>
    <w:unhideWhenUsed/>
    <w:pPr>
      <w:ind w:left="1320"/>
    </w:pPr>
  </w:style>
  <w:style w:type="paragraph" w:styleId="Verzeichnis8">
    <w:name w:val="toc 8"/>
    <w:basedOn w:val="Standard"/>
    <w:next w:val="Standard"/>
    <w:uiPriority w:val="39"/>
    <w:unhideWhenUsed/>
    <w:pPr>
      <w:ind w:left="1540"/>
    </w:pPr>
  </w:style>
  <w:style w:type="paragraph" w:styleId="Verzeichnis9">
    <w:name w:val="toc 9"/>
    <w:basedOn w:val="Standard"/>
    <w:next w:val="Standard"/>
    <w:uiPriority w:val="39"/>
    <w:unhideWhenUsed/>
    <w:pPr>
      <w:ind w:left="1760"/>
    </w:pPr>
  </w:style>
  <w:style w:type="character" w:styleId="Platzhaltertext">
    <w:name w:val="Placeholder Text"/>
    <w:basedOn w:val="Absatz-Standardschriftart"/>
    <w:uiPriority w:val="99"/>
    <w:semiHidden/>
    <w:rPr>
      <w:color w:val="666666"/>
    </w:rPr>
  </w:style>
  <w:style w:type="paragraph" w:styleId="Abbildungsverzeichnis">
    <w:name w:val="table of figures"/>
    <w:basedOn w:val="Standard"/>
    <w:next w:val="Standard"/>
    <w:uiPriority w:val="99"/>
    <w:unhideWhenUsed/>
    <w:pPr>
      <w:spacing w:after="0"/>
    </w:pPr>
  </w:style>
  <w:style w:type="paragraph" w:styleId="Kopfzeile">
    <w:name w:val="header"/>
    <w:basedOn w:val="Standard"/>
    <w:link w:val="KopfzeileZchn"/>
    <w:uiPriority w:val="99"/>
    <w:unhideWhenUsed/>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680"/>
        <w:tab w:val="right" w:pos="9360"/>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after="0" w:line="240" w:lineRule="auto"/>
    </w:p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TitelZchn">
    <w:name w:val="Titel Zchn"/>
    <w:basedOn w:val="Absatz-Standardschriftart"/>
    <w:link w:val="Titel"/>
    <w:uiPriority w:val="10"/>
    <w:rPr>
      <w:rFonts w:asciiTheme="majorHAnsi" w:eastAsiaTheme="majorEastAsia" w:hAnsiTheme="majorHAnsi" w:cstheme="majorBidi"/>
      <w:color w:val="17365D" w:themeColor="text2" w:themeShade="BF"/>
      <w:spacing w:val="5"/>
      <w:sz w:val="52"/>
      <w:szCs w:val="52"/>
    </w:rPr>
  </w:style>
  <w:style w:type="paragraph" w:styleId="Untertitel">
    <w:name w:val="Subtitle"/>
    <w:basedOn w:val="Standard"/>
    <w:next w:val="Standard"/>
    <w:link w:val="UntertitelZchn"/>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pPr>
      <w:ind w:left="720"/>
      <w:contextualSpacing/>
    </w:pPr>
  </w:style>
  <w:style w:type="paragraph" w:styleId="Textkrper">
    <w:name w:val="Body Text"/>
    <w:basedOn w:val="Standard"/>
    <w:link w:val="TextkrperZchn"/>
    <w:uiPriority w:val="99"/>
    <w:unhideWhenUsed/>
    <w:pPr>
      <w:spacing w:after="120"/>
    </w:pPr>
  </w:style>
  <w:style w:type="character" w:customStyle="1" w:styleId="TextkrperZchn">
    <w:name w:val="Textkörper Zchn"/>
    <w:basedOn w:val="Absatz-Standardschriftart"/>
    <w:link w:val="Textkrper"/>
    <w:uiPriority w:val="99"/>
  </w:style>
  <w:style w:type="paragraph" w:styleId="Textkrper2">
    <w:name w:val="Body Text 2"/>
    <w:basedOn w:val="Standard"/>
    <w:link w:val="Textkrper2Zchn"/>
    <w:uiPriority w:val="99"/>
    <w:unhideWhenUsed/>
    <w:pPr>
      <w:spacing w:after="120" w:line="480" w:lineRule="auto"/>
    </w:pPr>
  </w:style>
  <w:style w:type="character" w:customStyle="1" w:styleId="Textkrper2Zchn">
    <w:name w:val="Textkörper 2 Zchn"/>
    <w:basedOn w:val="Absatz-Standardschriftart"/>
    <w:link w:val="Textkrper2"/>
    <w:uiPriority w:val="99"/>
  </w:style>
  <w:style w:type="paragraph" w:styleId="Textkrper3">
    <w:name w:val="Body Text 3"/>
    <w:basedOn w:val="Standard"/>
    <w:link w:val="Textkrper3Zchn"/>
    <w:uiPriority w:val="99"/>
    <w:unhideWhenUsed/>
    <w:pPr>
      <w:spacing w:after="120"/>
    </w:pPr>
    <w:rPr>
      <w:sz w:val="16"/>
      <w:szCs w:val="16"/>
    </w:rPr>
  </w:style>
  <w:style w:type="character" w:customStyle="1" w:styleId="Textkrper3Zchn">
    <w:name w:val="Textkörper 3 Zchn"/>
    <w:basedOn w:val="Absatz-Standardschriftart"/>
    <w:link w:val="Textkrper3"/>
    <w:uiPriority w:val="99"/>
    <w:rPr>
      <w:sz w:val="16"/>
      <w:szCs w:val="16"/>
    </w:rPr>
  </w:style>
  <w:style w:type="paragraph" w:styleId="Liste">
    <w:name w:val="List"/>
    <w:basedOn w:val="Standard"/>
    <w:uiPriority w:val="99"/>
    <w:unhideWhenUsed/>
    <w:pPr>
      <w:ind w:left="360" w:hanging="360"/>
      <w:contextualSpacing/>
    </w:pPr>
  </w:style>
  <w:style w:type="paragraph" w:styleId="Liste2">
    <w:name w:val="List 2"/>
    <w:basedOn w:val="Standard"/>
    <w:uiPriority w:val="99"/>
    <w:unhideWhenUsed/>
    <w:pPr>
      <w:ind w:left="720" w:hanging="360"/>
      <w:contextualSpacing/>
    </w:pPr>
  </w:style>
  <w:style w:type="paragraph" w:styleId="Liste3">
    <w:name w:val="List 3"/>
    <w:basedOn w:val="Standard"/>
    <w:uiPriority w:val="99"/>
    <w:unhideWhenUsed/>
    <w:pPr>
      <w:ind w:left="1080" w:hanging="360"/>
      <w:contextualSpacing/>
    </w:pPr>
  </w:style>
  <w:style w:type="paragraph" w:styleId="Aufzhlungszeichen">
    <w:name w:val="List Bullet"/>
    <w:basedOn w:val="Standard"/>
    <w:uiPriority w:val="99"/>
    <w:unhideWhenUsed/>
    <w:pPr>
      <w:numPr>
        <w:numId w:val="1"/>
      </w:numPr>
      <w:contextualSpacing/>
    </w:pPr>
  </w:style>
  <w:style w:type="paragraph" w:styleId="Aufzhlungszeichen2">
    <w:name w:val="List Bullet 2"/>
    <w:basedOn w:val="Standard"/>
    <w:uiPriority w:val="99"/>
    <w:unhideWhenUsed/>
    <w:pPr>
      <w:numPr>
        <w:numId w:val="2"/>
      </w:numPr>
      <w:contextualSpacing/>
    </w:pPr>
  </w:style>
  <w:style w:type="paragraph" w:styleId="Aufzhlungszeichen3">
    <w:name w:val="List Bullet 3"/>
    <w:basedOn w:val="Standard"/>
    <w:uiPriority w:val="99"/>
    <w:unhideWhenUsed/>
    <w:pPr>
      <w:numPr>
        <w:numId w:val="3"/>
      </w:numPr>
      <w:contextualSpacing/>
    </w:pPr>
  </w:style>
  <w:style w:type="paragraph" w:styleId="Listennummer">
    <w:name w:val="List Number"/>
    <w:basedOn w:val="Standard"/>
    <w:uiPriority w:val="99"/>
    <w:unhideWhenUsed/>
    <w:pPr>
      <w:numPr>
        <w:numId w:val="5"/>
      </w:numPr>
      <w:contextualSpacing/>
    </w:pPr>
  </w:style>
  <w:style w:type="paragraph" w:styleId="Listennummer2">
    <w:name w:val="List Number 2"/>
    <w:basedOn w:val="Standard"/>
    <w:uiPriority w:val="99"/>
    <w:unhideWhenUsed/>
    <w:pPr>
      <w:numPr>
        <w:numId w:val="6"/>
      </w:numPr>
      <w:contextualSpacing/>
    </w:pPr>
  </w:style>
  <w:style w:type="paragraph" w:styleId="Listennummer3">
    <w:name w:val="List Number 3"/>
    <w:basedOn w:val="Standard"/>
    <w:uiPriority w:val="99"/>
    <w:unhideWhenUsed/>
    <w:pPr>
      <w:numPr>
        <w:numId w:val="7"/>
      </w:numPr>
      <w:contextualSpacing/>
    </w:pPr>
  </w:style>
  <w:style w:type="paragraph" w:styleId="Listenfortsetzung">
    <w:name w:val="List Continue"/>
    <w:basedOn w:val="Standard"/>
    <w:uiPriority w:val="99"/>
    <w:unhideWhenUsed/>
    <w:pPr>
      <w:spacing w:after="120"/>
      <w:ind w:left="360"/>
      <w:contextualSpacing/>
    </w:pPr>
  </w:style>
  <w:style w:type="paragraph" w:styleId="Listenfortsetzung2">
    <w:name w:val="List Continue 2"/>
    <w:basedOn w:val="Standard"/>
    <w:uiPriority w:val="99"/>
    <w:unhideWhenUsed/>
    <w:pPr>
      <w:spacing w:after="120"/>
      <w:ind w:left="720"/>
      <w:contextualSpacing/>
    </w:pPr>
  </w:style>
  <w:style w:type="paragraph" w:styleId="Listenfortsetzung3">
    <w:name w:val="List Continue 3"/>
    <w:basedOn w:val="Standard"/>
    <w:uiPriority w:val="99"/>
    <w:unhideWhenUsed/>
    <w:pPr>
      <w:spacing w:after="120"/>
      <w:ind w:left="1080"/>
      <w:contextualSpacing/>
    </w:pPr>
  </w:style>
  <w:style w:type="paragraph" w:styleId="Makrotext">
    <w:name w:val="macro"/>
    <w:link w:val="MakrotextZchn"/>
    <w:uiPriority w:val="99"/>
    <w:unhideWhenUse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Pr>
      <w:rFonts w:ascii="Courier" w:hAnsi="Courier"/>
      <w:sz w:val="20"/>
      <w:szCs w:val="20"/>
    </w:rPr>
  </w:style>
  <w:style w:type="paragraph" w:styleId="Zitat">
    <w:name w:val="Quote"/>
    <w:basedOn w:val="Standard"/>
    <w:next w:val="Standard"/>
    <w:link w:val="ZitatZchn"/>
    <w:uiPriority w:val="29"/>
    <w:qFormat/>
    <w:rPr>
      <w:i/>
      <w:iCs/>
      <w:color w:val="000000" w:themeColor="text1"/>
    </w:rPr>
  </w:style>
  <w:style w:type="character" w:customStyle="1" w:styleId="ZitatZchn">
    <w:name w:val="Zitat Zchn"/>
    <w:basedOn w:val="Absatz-Standardschriftart"/>
    <w:link w:val="Zitat"/>
    <w:uiPriority w:val="29"/>
    <w:rPr>
      <w:i/>
      <w:iCs/>
      <w:color w:val="000000" w:themeColor="text1"/>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pPr>
      <w:spacing w:line="240" w:lineRule="auto"/>
    </w:pPr>
    <w:rPr>
      <w:b/>
      <w:bCs/>
      <w:color w:val="4F81BD" w:themeColor="accent1"/>
      <w:sz w:val="18"/>
      <w:szCs w:val="18"/>
    </w:rPr>
  </w:style>
  <w:style w:type="character" w:styleId="Fett">
    <w:name w:val="Strong"/>
    <w:basedOn w:val="Absatz-Standardschriftart"/>
    <w:uiPriority w:val="22"/>
    <w:qFormat/>
    <w:rPr>
      <w:b/>
      <w:bCs/>
    </w:rPr>
  </w:style>
  <w:style w:type="character" w:styleId="Hervorhebung">
    <w:name w:val="Emphasis"/>
    <w:basedOn w:val="Absatz-Standardschriftart"/>
    <w:uiPriority w:val="20"/>
    <w:qFormat/>
    <w:rPr>
      <w:i/>
      <w:iCs/>
    </w:rPr>
  </w:style>
  <w:style w:type="paragraph" w:styleId="IntensivesZitat">
    <w:name w:val="Intense Quote"/>
    <w:basedOn w:val="Standard"/>
    <w:next w:val="Standard"/>
    <w:link w:val="IntensivesZitatZchn"/>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Pr>
      <w:b/>
      <w:bCs/>
      <w:i/>
      <w:iCs/>
      <w:color w:val="4F81BD" w:themeColor="accent1"/>
    </w:rPr>
  </w:style>
  <w:style w:type="character" w:styleId="SchwacheHervorhebung">
    <w:name w:val="Subtle Emphasis"/>
    <w:basedOn w:val="Absatz-Standardschriftart"/>
    <w:uiPriority w:val="19"/>
    <w:qFormat/>
    <w:rPr>
      <w:i/>
      <w:iCs/>
      <w:color w:val="808080" w:themeColor="text1" w:themeTint="7F"/>
    </w:rPr>
  </w:style>
  <w:style w:type="character" w:styleId="IntensiveHervorhebung">
    <w:name w:val="Intense Emphasis"/>
    <w:basedOn w:val="Absatz-Standardschriftart"/>
    <w:uiPriority w:val="21"/>
    <w:qFormat/>
    <w:rPr>
      <w:b/>
      <w:bCs/>
      <w:i/>
      <w:iCs/>
      <w:color w:val="4F81BD" w:themeColor="accent1"/>
    </w:rPr>
  </w:style>
  <w:style w:type="character" w:styleId="SchwacherVerweis">
    <w:name w:val="Subtle Reference"/>
    <w:basedOn w:val="Absatz-Standardschriftart"/>
    <w:uiPriority w:val="31"/>
    <w:qFormat/>
    <w:rPr>
      <w:smallCaps/>
      <w:color w:val="C0504D" w:themeColor="accent2"/>
      <w:u w:val="single"/>
    </w:rPr>
  </w:style>
  <w:style w:type="character" w:styleId="IntensiverVerweis">
    <w:name w:val="Intense Reference"/>
    <w:basedOn w:val="Absatz-Standardschriftart"/>
    <w:uiPriority w:val="32"/>
    <w:qFormat/>
    <w:rPr>
      <w:b/>
      <w:bCs/>
      <w:smallCaps/>
      <w:color w:val="C0504D" w:themeColor="accent2"/>
      <w:spacing w:val="5"/>
      <w:u w:val="single"/>
    </w:rPr>
  </w:style>
  <w:style w:type="character" w:styleId="Buchtitel">
    <w:name w:val="Book Title"/>
    <w:basedOn w:val="Absatz-Standardschriftart"/>
    <w:uiPriority w:val="33"/>
    <w:qFormat/>
    <w:rPr>
      <w:b/>
      <w:bCs/>
      <w:smallCaps/>
      <w:spacing w:val="5"/>
    </w:rPr>
  </w:style>
  <w:style w:type="paragraph" w:styleId="Inhaltsverzeichnisberschrift">
    <w:name w:val="TOC Heading"/>
    <w:basedOn w:val="berschrift1"/>
    <w:next w:val="Standard"/>
    <w:uiPriority w:val="39"/>
    <w:semiHidden/>
    <w:unhideWhenUsed/>
    <w:qFormat/>
    <w:pPr>
      <w:outlineLvl w:val="9"/>
    </w:pPr>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HelleSchattierung">
    <w:name w:val="Light Shading"/>
    <w:basedOn w:val="NormaleTabelle"/>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C0C0C0" w:themeFill="text1" w:themeFillTint="3F"/>
      </w:tcPr>
    </w:tblStylePr>
    <w:tblStylePr w:type="band1Horz">
      <w:tblPr/>
      <w:tcPr>
        <w:tcBorders>
          <w:left w:val="none" w:sz="4" w:space="0" w:color="000000"/>
          <w:right w:val="none" w:sz="4" w:space="0" w:color="000000"/>
        </w:tcBorders>
        <w:shd w:val="clear" w:color="auto" w:fill="C0C0C0" w:themeFill="text1" w:themeFillTint="3F"/>
      </w:tcPr>
    </w:tblStylePr>
  </w:style>
  <w:style w:type="table" w:styleId="HelleSchattierung-Akzent1">
    <w:name w:val="Light Shading Accent 1"/>
    <w:basedOn w:val="NormaleTabelle"/>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one" w:sz="4" w:space="0" w:color="000000"/>
          <w:bottom w:val="single" w:sz="8" w:space="0" w:color="4F81BD" w:themeColor="accent1"/>
          <w:right w:val="none" w:sz="4" w:space="0" w:color="000000"/>
        </w:tcBorders>
      </w:tcPr>
    </w:tblStylePr>
    <w:tblStylePr w:type="lastRow">
      <w:pPr>
        <w:spacing w:before="0" w:after="0" w:line="240" w:lineRule="auto"/>
      </w:pPr>
      <w:rPr>
        <w:b/>
        <w:bCs/>
      </w:rPr>
      <w:tblPr/>
      <w:tcPr>
        <w:tcBorders>
          <w:top w:val="single" w:sz="8" w:space="0" w:color="4F81BD" w:themeColor="accent1"/>
          <w:left w:val="none" w:sz="4" w:space="0" w:color="000000"/>
          <w:bottom w:val="single" w:sz="8" w:space="0" w:color="4F81BD" w:themeColor="accent1"/>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D3DFEE" w:themeFill="accent1" w:themeFillTint="3F"/>
      </w:tcPr>
    </w:tblStylePr>
    <w:tblStylePr w:type="band1Horz">
      <w:tblPr/>
      <w:tcPr>
        <w:tcBorders>
          <w:left w:val="none" w:sz="4" w:space="0" w:color="000000"/>
          <w:right w:val="none" w:sz="4" w:space="0" w:color="000000"/>
        </w:tcBorders>
        <w:shd w:val="clear" w:color="auto" w:fill="D3DFEE" w:themeFill="accent1" w:themeFillTint="3F"/>
      </w:tcPr>
    </w:tblStylePr>
  </w:style>
  <w:style w:type="table" w:styleId="HelleSchattierung-Akzent2">
    <w:name w:val="Light Shading Accent 2"/>
    <w:basedOn w:val="NormaleTabelle"/>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one" w:sz="4" w:space="0" w:color="000000"/>
          <w:bottom w:val="single" w:sz="8" w:space="0" w:color="C0504D" w:themeColor="accent2"/>
          <w:right w:val="none" w:sz="4" w:space="0" w:color="000000"/>
        </w:tcBorders>
      </w:tcPr>
    </w:tblStylePr>
    <w:tblStylePr w:type="lastRow">
      <w:pPr>
        <w:spacing w:before="0" w:after="0" w:line="240" w:lineRule="auto"/>
      </w:pPr>
      <w:rPr>
        <w:b/>
        <w:bCs/>
      </w:rPr>
      <w:tblPr/>
      <w:tcPr>
        <w:tcBorders>
          <w:top w:val="single" w:sz="8" w:space="0" w:color="C0504D" w:themeColor="accent2"/>
          <w:left w:val="none" w:sz="4" w:space="0" w:color="000000"/>
          <w:bottom w:val="single" w:sz="8" w:space="0" w:color="C0504D" w:themeColor="accent2"/>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EFD3D2" w:themeFill="accent2" w:themeFillTint="3F"/>
      </w:tcPr>
    </w:tblStylePr>
    <w:tblStylePr w:type="band1Horz">
      <w:tblPr/>
      <w:tcPr>
        <w:tcBorders>
          <w:left w:val="none" w:sz="4" w:space="0" w:color="000000"/>
          <w:right w:val="none" w:sz="4" w:space="0" w:color="000000"/>
        </w:tcBorders>
        <w:shd w:val="clear" w:color="auto" w:fill="EFD3D2" w:themeFill="accent2" w:themeFillTint="3F"/>
      </w:tcPr>
    </w:tblStylePr>
  </w:style>
  <w:style w:type="table" w:styleId="HelleSchattierung-Akzent3">
    <w:name w:val="Light Shading Accent 3"/>
    <w:basedOn w:val="NormaleTabelle"/>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one" w:sz="4" w:space="0" w:color="000000"/>
          <w:bottom w:val="single" w:sz="8" w:space="0" w:color="9BBB59" w:themeColor="accent3"/>
          <w:right w:val="none" w:sz="4" w:space="0" w:color="000000"/>
        </w:tcBorders>
      </w:tcPr>
    </w:tblStylePr>
    <w:tblStylePr w:type="lastRow">
      <w:pPr>
        <w:spacing w:before="0" w:after="0" w:line="240" w:lineRule="auto"/>
      </w:pPr>
      <w:rPr>
        <w:b/>
        <w:bCs/>
      </w:rPr>
      <w:tblPr/>
      <w:tcPr>
        <w:tcBorders>
          <w:top w:val="single" w:sz="8" w:space="0" w:color="9BBB59" w:themeColor="accent3"/>
          <w:left w:val="none" w:sz="4" w:space="0" w:color="000000"/>
          <w:bottom w:val="single" w:sz="8" w:space="0" w:color="9BBB59" w:themeColor="accent3"/>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E6EED5" w:themeFill="accent3" w:themeFillTint="3F"/>
      </w:tcPr>
    </w:tblStylePr>
    <w:tblStylePr w:type="band1Horz">
      <w:tblPr/>
      <w:tcPr>
        <w:tcBorders>
          <w:left w:val="none" w:sz="4" w:space="0" w:color="000000"/>
          <w:right w:val="none" w:sz="4" w:space="0" w:color="000000"/>
        </w:tcBorders>
        <w:shd w:val="clear" w:color="auto" w:fill="E6EED5" w:themeFill="accent3" w:themeFillTint="3F"/>
      </w:tcPr>
    </w:tblStylePr>
  </w:style>
  <w:style w:type="table" w:styleId="HelleSchattierung-Akzent4">
    <w:name w:val="Light Shading Accent 4"/>
    <w:basedOn w:val="NormaleTabelle"/>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one" w:sz="4" w:space="0" w:color="000000"/>
          <w:bottom w:val="single" w:sz="8" w:space="0" w:color="8064A2" w:themeColor="accent4"/>
          <w:right w:val="none" w:sz="4" w:space="0" w:color="000000"/>
        </w:tcBorders>
      </w:tcPr>
    </w:tblStylePr>
    <w:tblStylePr w:type="lastRow">
      <w:pPr>
        <w:spacing w:before="0" w:after="0" w:line="240" w:lineRule="auto"/>
      </w:pPr>
      <w:rPr>
        <w:b/>
        <w:bCs/>
      </w:rPr>
      <w:tblPr/>
      <w:tcPr>
        <w:tcBorders>
          <w:top w:val="single" w:sz="8" w:space="0" w:color="8064A2" w:themeColor="accent4"/>
          <w:left w:val="none" w:sz="4" w:space="0" w:color="000000"/>
          <w:bottom w:val="single" w:sz="8" w:space="0" w:color="8064A2" w:themeColor="accent4"/>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DFD8E8" w:themeFill="accent4" w:themeFillTint="3F"/>
      </w:tcPr>
    </w:tblStylePr>
    <w:tblStylePr w:type="band1Horz">
      <w:tblPr/>
      <w:tcPr>
        <w:tcBorders>
          <w:left w:val="none" w:sz="4" w:space="0" w:color="000000"/>
          <w:right w:val="none" w:sz="4" w:space="0" w:color="000000"/>
        </w:tcBorders>
        <w:shd w:val="clear" w:color="auto" w:fill="DFD8E8" w:themeFill="accent4" w:themeFillTint="3F"/>
      </w:tcPr>
    </w:tblStylePr>
  </w:style>
  <w:style w:type="table" w:styleId="HelleSchattierung-Akzent5">
    <w:name w:val="Light Shading Accent 5"/>
    <w:basedOn w:val="NormaleTabelle"/>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one" w:sz="4" w:space="0" w:color="000000"/>
          <w:bottom w:val="single" w:sz="8" w:space="0" w:color="4BACC6" w:themeColor="accent5"/>
          <w:right w:val="none" w:sz="4" w:space="0" w:color="000000"/>
        </w:tcBorders>
      </w:tcPr>
    </w:tblStylePr>
    <w:tblStylePr w:type="lastRow">
      <w:pPr>
        <w:spacing w:before="0" w:after="0" w:line="240" w:lineRule="auto"/>
      </w:pPr>
      <w:rPr>
        <w:b/>
        <w:bCs/>
      </w:rPr>
      <w:tblPr/>
      <w:tcPr>
        <w:tcBorders>
          <w:top w:val="single" w:sz="8" w:space="0" w:color="4BACC6" w:themeColor="accent5"/>
          <w:left w:val="none" w:sz="4" w:space="0" w:color="000000"/>
          <w:bottom w:val="single" w:sz="8" w:space="0" w:color="4BACC6" w:themeColor="accent5"/>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D2EAF1" w:themeFill="accent5" w:themeFillTint="3F"/>
      </w:tcPr>
    </w:tblStylePr>
    <w:tblStylePr w:type="band1Horz">
      <w:tblPr/>
      <w:tcPr>
        <w:tcBorders>
          <w:left w:val="none" w:sz="4" w:space="0" w:color="000000"/>
          <w:right w:val="none" w:sz="4" w:space="0" w:color="000000"/>
        </w:tcBorders>
        <w:shd w:val="clear" w:color="auto" w:fill="D2EAF1" w:themeFill="accent5" w:themeFillTint="3F"/>
      </w:tcPr>
    </w:tblStylePr>
  </w:style>
  <w:style w:type="table" w:styleId="HelleSchattierung-Akzent6">
    <w:name w:val="Light Shading Accent 6"/>
    <w:basedOn w:val="NormaleTabelle"/>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one" w:sz="4" w:space="0" w:color="000000"/>
          <w:bottom w:val="single" w:sz="8" w:space="0" w:color="F79646" w:themeColor="accent6"/>
          <w:right w:val="none" w:sz="4" w:space="0" w:color="000000"/>
        </w:tcBorders>
      </w:tcPr>
    </w:tblStylePr>
    <w:tblStylePr w:type="lastRow">
      <w:pPr>
        <w:spacing w:before="0" w:after="0" w:line="240" w:lineRule="auto"/>
      </w:pPr>
      <w:rPr>
        <w:b/>
        <w:bCs/>
      </w:rPr>
      <w:tblPr/>
      <w:tcPr>
        <w:tcBorders>
          <w:top w:val="single" w:sz="8" w:space="0" w:color="F79646" w:themeColor="accent6"/>
          <w:left w:val="none" w:sz="4" w:space="0" w:color="000000"/>
          <w:bottom w:val="single" w:sz="8" w:space="0" w:color="F79646" w:themeColor="accent6"/>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FDE4D0" w:themeFill="accent6" w:themeFillTint="3F"/>
      </w:tcPr>
    </w:tblStylePr>
    <w:tblStylePr w:type="band1Horz">
      <w:tblPr/>
      <w:tcPr>
        <w:tcBorders>
          <w:left w:val="none" w:sz="4" w:space="0" w:color="000000"/>
          <w:right w:val="none" w:sz="4" w:space="0" w:color="000000"/>
        </w:tcBorders>
        <w:shd w:val="clear" w:color="auto" w:fill="FDE4D0" w:themeFill="accent6" w:themeFillTint="3F"/>
      </w:tcPr>
    </w:tblStylePr>
  </w:style>
  <w:style w:type="table" w:styleId="HelleListe">
    <w:name w:val="Light List"/>
    <w:basedOn w:val="NormaleTabelle"/>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sing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sing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sing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sing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sing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sing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1">
    <w:name w:val="Light Grid Accent 1"/>
    <w:basedOn w:val="NormaleTabelle"/>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sRaster-Akzent2">
    <w:name w:val="Light Grid Accent 2"/>
    <w:basedOn w:val="NormaleTabelle"/>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sRaster-Akzent3">
    <w:name w:val="Light Grid Accent 3"/>
    <w:basedOn w:val="NormaleTabelle"/>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sRaster-Akzent4">
    <w:name w:val="Light Grid Accent 4"/>
    <w:basedOn w:val="NormaleTabelle"/>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sRaster-Akzent5">
    <w:name w:val="Light Grid Accent 5"/>
    <w:basedOn w:val="NormaleTabelle"/>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sRaster-Akzent6">
    <w:name w:val="Light Grid Accent 6"/>
    <w:basedOn w:val="NormaleTabelle"/>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MittlereSchattierung1">
    <w:name w:val="Medium Shading 1"/>
    <w:basedOn w:val="NormaleTabelle"/>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tcBorders>
        <w:shd w:val="clear" w:color="auto" w:fill="000000" w:themeFill="text1"/>
      </w:tcPr>
    </w:tblStylePr>
    <w:tblStylePr w:type="lastRow">
      <w:pPr>
        <w:spacing w:before="0" w:after="0" w:line="240" w:lineRule="auto"/>
      </w:pPr>
      <w:rPr>
        <w:b/>
        <w:bCs/>
      </w:rPr>
      <w:tblPr/>
      <w:tcPr>
        <w:tcBorders>
          <w:top w:val="sing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Schattierung1-Akzent1">
    <w:name w:val="Medium Shading 1 Accent 1"/>
    <w:basedOn w:val="NormaleTabelle"/>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tcBorders>
        <w:shd w:val="clear" w:color="auto" w:fill="4F81BD" w:themeFill="accent1"/>
      </w:tcPr>
    </w:tblStylePr>
    <w:tblStylePr w:type="lastRow">
      <w:pPr>
        <w:spacing w:before="0" w:after="0" w:line="240" w:lineRule="auto"/>
      </w:pPr>
      <w:rPr>
        <w:b/>
        <w:bCs/>
      </w:rPr>
      <w:tblPr/>
      <w:tcPr>
        <w:tcBorders>
          <w:top w:val="sing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Schattierung1-Akzent2">
    <w:name w:val="Medium Shading 1 Accent 2"/>
    <w:basedOn w:val="NormaleTabelle"/>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tcBorders>
        <w:shd w:val="clear" w:color="auto" w:fill="C0504D" w:themeFill="accent2"/>
      </w:tcPr>
    </w:tblStylePr>
    <w:tblStylePr w:type="lastRow">
      <w:pPr>
        <w:spacing w:before="0" w:after="0" w:line="240" w:lineRule="auto"/>
      </w:pPr>
      <w:rPr>
        <w:b/>
        <w:bCs/>
      </w:rPr>
      <w:tblPr/>
      <w:tcPr>
        <w:tcBorders>
          <w:top w:val="sing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Schattierung1-Akzent3">
    <w:name w:val="Medium Shading 1 Accent 3"/>
    <w:basedOn w:val="NormaleTabelle"/>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tcBorders>
        <w:shd w:val="clear" w:color="auto" w:fill="9BBB59" w:themeFill="accent3"/>
      </w:tcPr>
    </w:tblStylePr>
    <w:tblStylePr w:type="lastRow">
      <w:pPr>
        <w:spacing w:before="0" w:after="0" w:line="240" w:lineRule="auto"/>
      </w:pPr>
      <w:rPr>
        <w:b/>
        <w:bCs/>
      </w:rPr>
      <w:tblPr/>
      <w:tcPr>
        <w:tcBorders>
          <w:top w:val="sing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Schattierung1-Akzent4">
    <w:name w:val="Medium Shading 1 Accent 4"/>
    <w:basedOn w:val="NormaleTabelle"/>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tcBorders>
        <w:shd w:val="clear" w:color="auto" w:fill="8064A2" w:themeFill="accent4"/>
      </w:tcPr>
    </w:tblStylePr>
    <w:tblStylePr w:type="lastRow">
      <w:pPr>
        <w:spacing w:before="0" w:after="0" w:line="240" w:lineRule="auto"/>
      </w:pPr>
      <w:rPr>
        <w:b/>
        <w:bCs/>
      </w:rPr>
      <w:tblPr/>
      <w:tcPr>
        <w:tcBorders>
          <w:top w:val="sing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Schattierung1-Akzent5">
    <w:name w:val="Medium Shading 1 Accent 5"/>
    <w:basedOn w:val="NormaleTabelle"/>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shd w:val="clear" w:color="auto" w:fill="4BACC6" w:themeFill="accent5"/>
      </w:tcPr>
    </w:tblStylePr>
    <w:tblStylePr w:type="lastRow">
      <w:pPr>
        <w:spacing w:before="0" w:after="0" w:line="240" w:lineRule="auto"/>
      </w:pPr>
      <w:rPr>
        <w:b/>
        <w:bCs/>
      </w:rPr>
      <w:tblPr/>
      <w:tcPr>
        <w:tcBorders>
          <w:top w:val="sing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Schattierung1-Akzent6">
    <w:name w:val="Medium Shading 1 Accent 6"/>
    <w:basedOn w:val="NormaleTabelle"/>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tcBorders>
        <w:shd w:val="clear" w:color="auto" w:fill="F79646" w:themeFill="accent6"/>
      </w:tcPr>
    </w:tblStylePr>
    <w:tblStylePr w:type="lastRow">
      <w:pPr>
        <w:spacing w:before="0" w:after="0" w:line="240" w:lineRule="auto"/>
      </w:pPr>
      <w:rPr>
        <w:b/>
        <w:bCs/>
      </w:rPr>
      <w:tblPr/>
      <w:tcPr>
        <w:tcBorders>
          <w:top w:val="sing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Schattierung2">
    <w:name w:val="Medium Shading 2"/>
    <w:basedOn w:val="NormaleTabelle"/>
    <w:uiPriority w:val="64"/>
    <w:pPr>
      <w:spacing w:after="0" w:line="240" w:lineRule="auto"/>
    </w:pPr>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000000"/>
          <w:left w:val="none" w:sz="4" w:space="0" w:color="000000"/>
          <w:bottom w:val="single" w:sz="18" w:space="0" w:color="000000"/>
          <w:right w:val="none" w:sz="4" w:space="0" w:color="000000"/>
        </w:tcBorders>
        <w:shd w:val="clear" w:color="auto" w:fill="000000" w:themeFill="text1"/>
      </w:tcPr>
    </w:tblStylePr>
    <w:tblStylePr w:type="lastRow">
      <w:pPr>
        <w:spacing w:before="0" w:after="0" w:line="240" w:lineRule="auto"/>
      </w:pPr>
      <w:rPr>
        <w:color w:val="auto"/>
      </w:rPr>
      <w:tblPr/>
      <w:tcPr>
        <w:tcBorders>
          <w:top w:val="single" w:sz="6" w:space="0" w:color="000000"/>
          <w:left w:val="none" w:sz="4" w:space="0" w:color="000000"/>
          <w:bottom w:val="single" w:sz="18" w:space="0" w:color="000000"/>
          <w:right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000000"/>
          <w:right w:val="none" w:sz="4" w:space="0" w:color="000000"/>
        </w:tcBorders>
        <w:shd w:val="clear" w:color="auto" w:fill="000000" w:themeFill="text1"/>
      </w:tcPr>
    </w:tblStylePr>
    <w:tblStylePr w:type="lastCol">
      <w:rPr>
        <w:b/>
        <w:bCs/>
        <w:color w:val="FFFFFF" w:themeColor="background1"/>
      </w:rPr>
      <w:tblPr/>
      <w:tcPr>
        <w:tcBorders>
          <w:left w:val="none" w:sz="4" w:space="0" w:color="000000"/>
          <w:right w:val="none" w:sz="4" w:space="0" w:color="000000"/>
        </w:tcBorders>
        <w:shd w:val="clear" w:color="auto" w:fill="000000" w:themeFill="text1"/>
      </w:tcPr>
    </w:tblStylePr>
    <w:tblStylePr w:type="band1Vert">
      <w:tblPr/>
      <w:tcPr>
        <w:tcBorders>
          <w:left w:val="none" w:sz="4" w:space="0" w:color="000000"/>
          <w:right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000000"/>
          <w:left w:val="none" w:sz="4" w:space="0" w:color="000000"/>
          <w:bottom w:val="single" w:sz="18" w:space="0" w:color="000000"/>
          <w:right w:val="none" w:sz="4" w:space="0" w:color="000000"/>
        </w:tcBorders>
      </w:tcPr>
    </w:tblStylePr>
    <w:tblStylePr w:type="nwCell">
      <w:rPr>
        <w:color w:val="FFFFFF" w:themeColor="background1"/>
      </w:rPr>
      <w:tblPr/>
      <w:tcPr>
        <w:tcBorders>
          <w:top w:val="single" w:sz="18" w:space="0" w:color="000000"/>
          <w:left w:val="none" w:sz="4" w:space="0" w:color="000000"/>
          <w:bottom w:val="single" w:sz="18" w:space="0" w:color="000000"/>
          <w:right w:val="none" w:sz="4" w:space="0" w:color="000000"/>
        </w:tcBorders>
      </w:tcPr>
    </w:tblStylePr>
  </w:style>
  <w:style w:type="table" w:styleId="MittlereSchattierung2-Akzent1">
    <w:name w:val="Medium Shading 2 Accent 1"/>
    <w:basedOn w:val="NormaleTabelle"/>
    <w:uiPriority w:val="64"/>
    <w:pPr>
      <w:spacing w:after="0" w:line="240" w:lineRule="auto"/>
    </w:pPr>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000000"/>
          <w:left w:val="none" w:sz="4" w:space="0" w:color="000000"/>
          <w:bottom w:val="single" w:sz="18" w:space="0" w:color="000000"/>
          <w:right w:val="none" w:sz="4" w:space="0" w:color="000000"/>
        </w:tcBorders>
        <w:shd w:val="clear" w:color="auto" w:fill="4F81BD" w:themeFill="accent1"/>
      </w:tcPr>
    </w:tblStylePr>
    <w:tblStylePr w:type="lastRow">
      <w:pPr>
        <w:spacing w:before="0" w:after="0" w:line="240" w:lineRule="auto"/>
      </w:pPr>
      <w:rPr>
        <w:color w:val="auto"/>
      </w:rPr>
      <w:tblPr/>
      <w:tcPr>
        <w:tcBorders>
          <w:top w:val="single" w:sz="6" w:space="0" w:color="000000"/>
          <w:left w:val="none" w:sz="4" w:space="0" w:color="000000"/>
          <w:bottom w:val="single" w:sz="18" w:space="0" w:color="000000"/>
          <w:right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000000"/>
          <w:right w:val="none" w:sz="4" w:space="0" w:color="000000"/>
        </w:tcBorders>
        <w:shd w:val="clear" w:color="auto" w:fill="4F81BD" w:themeFill="accent1"/>
      </w:tcPr>
    </w:tblStylePr>
    <w:tblStylePr w:type="lastCol">
      <w:rPr>
        <w:b/>
        <w:bCs/>
        <w:color w:val="FFFFFF" w:themeColor="background1"/>
      </w:rPr>
      <w:tblPr/>
      <w:tcPr>
        <w:tcBorders>
          <w:left w:val="none" w:sz="4" w:space="0" w:color="000000"/>
          <w:right w:val="none" w:sz="4" w:space="0" w:color="000000"/>
        </w:tcBorders>
        <w:shd w:val="clear" w:color="auto" w:fill="4F81BD" w:themeFill="accent1"/>
      </w:tcPr>
    </w:tblStylePr>
    <w:tblStylePr w:type="band1Vert">
      <w:tblPr/>
      <w:tcPr>
        <w:tcBorders>
          <w:left w:val="none" w:sz="4" w:space="0" w:color="000000"/>
          <w:right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000000"/>
          <w:left w:val="none" w:sz="4" w:space="0" w:color="000000"/>
          <w:bottom w:val="single" w:sz="18" w:space="0" w:color="000000"/>
          <w:right w:val="none" w:sz="4" w:space="0" w:color="000000"/>
        </w:tcBorders>
      </w:tcPr>
    </w:tblStylePr>
    <w:tblStylePr w:type="nwCell">
      <w:rPr>
        <w:color w:val="FFFFFF" w:themeColor="background1"/>
      </w:rPr>
      <w:tblPr/>
      <w:tcPr>
        <w:tcBorders>
          <w:top w:val="single" w:sz="18" w:space="0" w:color="000000"/>
          <w:left w:val="none" w:sz="4" w:space="0" w:color="000000"/>
          <w:bottom w:val="single" w:sz="18" w:space="0" w:color="000000"/>
          <w:right w:val="none" w:sz="4" w:space="0" w:color="000000"/>
        </w:tcBorders>
      </w:tcPr>
    </w:tblStylePr>
  </w:style>
  <w:style w:type="table" w:styleId="MittlereSchattierung2-Akzent2">
    <w:name w:val="Medium Shading 2 Accent 2"/>
    <w:basedOn w:val="NormaleTabelle"/>
    <w:uiPriority w:val="64"/>
    <w:pPr>
      <w:spacing w:after="0" w:line="240" w:lineRule="auto"/>
    </w:pPr>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000000"/>
          <w:left w:val="none" w:sz="4" w:space="0" w:color="000000"/>
          <w:bottom w:val="single" w:sz="18" w:space="0" w:color="000000"/>
          <w:right w:val="none" w:sz="4" w:space="0" w:color="000000"/>
        </w:tcBorders>
        <w:shd w:val="clear" w:color="auto" w:fill="C0504D" w:themeFill="accent2"/>
      </w:tcPr>
    </w:tblStylePr>
    <w:tblStylePr w:type="lastRow">
      <w:pPr>
        <w:spacing w:before="0" w:after="0" w:line="240" w:lineRule="auto"/>
      </w:pPr>
      <w:rPr>
        <w:color w:val="auto"/>
      </w:rPr>
      <w:tblPr/>
      <w:tcPr>
        <w:tcBorders>
          <w:top w:val="single" w:sz="6" w:space="0" w:color="000000"/>
          <w:left w:val="none" w:sz="4" w:space="0" w:color="000000"/>
          <w:bottom w:val="single" w:sz="18" w:space="0" w:color="000000"/>
          <w:right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000000"/>
          <w:right w:val="none" w:sz="4" w:space="0" w:color="000000"/>
        </w:tcBorders>
        <w:shd w:val="clear" w:color="auto" w:fill="C0504D" w:themeFill="accent2"/>
      </w:tcPr>
    </w:tblStylePr>
    <w:tblStylePr w:type="lastCol">
      <w:rPr>
        <w:b/>
        <w:bCs/>
        <w:color w:val="FFFFFF" w:themeColor="background1"/>
      </w:rPr>
      <w:tblPr/>
      <w:tcPr>
        <w:tcBorders>
          <w:left w:val="none" w:sz="4" w:space="0" w:color="000000"/>
          <w:right w:val="none" w:sz="4" w:space="0" w:color="000000"/>
        </w:tcBorders>
        <w:shd w:val="clear" w:color="auto" w:fill="C0504D" w:themeFill="accent2"/>
      </w:tcPr>
    </w:tblStylePr>
    <w:tblStylePr w:type="band1Vert">
      <w:tblPr/>
      <w:tcPr>
        <w:tcBorders>
          <w:left w:val="none" w:sz="4" w:space="0" w:color="000000"/>
          <w:right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000000"/>
          <w:left w:val="none" w:sz="4" w:space="0" w:color="000000"/>
          <w:bottom w:val="single" w:sz="18" w:space="0" w:color="000000"/>
          <w:right w:val="none" w:sz="4" w:space="0" w:color="000000"/>
        </w:tcBorders>
      </w:tcPr>
    </w:tblStylePr>
    <w:tblStylePr w:type="nwCell">
      <w:rPr>
        <w:color w:val="FFFFFF" w:themeColor="background1"/>
      </w:rPr>
      <w:tblPr/>
      <w:tcPr>
        <w:tcBorders>
          <w:top w:val="single" w:sz="18" w:space="0" w:color="000000"/>
          <w:left w:val="none" w:sz="4" w:space="0" w:color="000000"/>
          <w:bottom w:val="single" w:sz="18" w:space="0" w:color="000000"/>
          <w:right w:val="none" w:sz="4" w:space="0" w:color="000000"/>
        </w:tcBorders>
      </w:tcPr>
    </w:tblStylePr>
  </w:style>
  <w:style w:type="table" w:styleId="MittlereSchattierung2-Akzent3">
    <w:name w:val="Medium Shading 2 Accent 3"/>
    <w:basedOn w:val="NormaleTabelle"/>
    <w:uiPriority w:val="64"/>
    <w:pPr>
      <w:spacing w:after="0" w:line="240" w:lineRule="auto"/>
    </w:pPr>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000000"/>
          <w:left w:val="none" w:sz="4" w:space="0" w:color="000000"/>
          <w:bottom w:val="single" w:sz="18" w:space="0" w:color="000000"/>
          <w:right w:val="none" w:sz="4" w:space="0" w:color="000000"/>
        </w:tcBorders>
        <w:shd w:val="clear" w:color="auto" w:fill="9BBB59" w:themeFill="accent3"/>
      </w:tcPr>
    </w:tblStylePr>
    <w:tblStylePr w:type="lastRow">
      <w:pPr>
        <w:spacing w:before="0" w:after="0" w:line="240" w:lineRule="auto"/>
      </w:pPr>
      <w:rPr>
        <w:color w:val="auto"/>
      </w:rPr>
      <w:tblPr/>
      <w:tcPr>
        <w:tcBorders>
          <w:top w:val="single" w:sz="6" w:space="0" w:color="000000"/>
          <w:left w:val="none" w:sz="4" w:space="0" w:color="000000"/>
          <w:bottom w:val="single" w:sz="18" w:space="0" w:color="000000"/>
          <w:right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000000"/>
          <w:right w:val="none" w:sz="4" w:space="0" w:color="000000"/>
        </w:tcBorders>
        <w:shd w:val="clear" w:color="auto" w:fill="9BBB59" w:themeFill="accent3"/>
      </w:tcPr>
    </w:tblStylePr>
    <w:tblStylePr w:type="lastCol">
      <w:rPr>
        <w:b/>
        <w:bCs/>
        <w:color w:val="FFFFFF" w:themeColor="background1"/>
      </w:rPr>
      <w:tblPr/>
      <w:tcPr>
        <w:tcBorders>
          <w:left w:val="none" w:sz="4" w:space="0" w:color="000000"/>
          <w:right w:val="none" w:sz="4" w:space="0" w:color="000000"/>
        </w:tcBorders>
        <w:shd w:val="clear" w:color="auto" w:fill="9BBB59" w:themeFill="accent3"/>
      </w:tcPr>
    </w:tblStylePr>
    <w:tblStylePr w:type="band1Vert">
      <w:tblPr/>
      <w:tcPr>
        <w:tcBorders>
          <w:left w:val="none" w:sz="4" w:space="0" w:color="000000"/>
          <w:right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000000"/>
          <w:left w:val="none" w:sz="4" w:space="0" w:color="000000"/>
          <w:bottom w:val="single" w:sz="18" w:space="0" w:color="000000"/>
          <w:right w:val="none" w:sz="4" w:space="0" w:color="000000"/>
        </w:tcBorders>
      </w:tcPr>
    </w:tblStylePr>
    <w:tblStylePr w:type="nwCell">
      <w:rPr>
        <w:color w:val="FFFFFF" w:themeColor="background1"/>
      </w:rPr>
      <w:tblPr/>
      <w:tcPr>
        <w:tcBorders>
          <w:top w:val="single" w:sz="18" w:space="0" w:color="000000"/>
          <w:left w:val="none" w:sz="4" w:space="0" w:color="000000"/>
          <w:bottom w:val="single" w:sz="18" w:space="0" w:color="000000"/>
          <w:right w:val="none" w:sz="4" w:space="0" w:color="000000"/>
        </w:tcBorders>
      </w:tcPr>
    </w:tblStylePr>
  </w:style>
  <w:style w:type="table" w:styleId="MittlereSchattierung2-Akzent4">
    <w:name w:val="Medium Shading 2 Accent 4"/>
    <w:basedOn w:val="NormaleTabelle"/>
    <w:uiPriority w:val="64"/>
    <w:pPr>
      <w:spacing w:after="0" w:line="240" w:lineRule="auto"/>
    </w:pPr>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000000"/>
          <w:left w:val="none" w:sz="4" w:space="0" w:color="000000"/>
          <w:bottom w:val="single" w:sz="18" w:space="0" w:color="000000"/>
          <w:right w:val="none" w:sz="4" w:space="0" w:color="000000"/>
        </w:tcBorders>
        <w:shd w:val="clear" w:color="auto" w:fill="8064A2" w:themeFill="accent4"/>
      </w:tcPr>
    </w:tblStylePr>
    <w:tblStylePr w:type="lastRow">
      <w:pPr>
        <w:spacing w:before="0" w:after="0" w:line="240" w:lineRule="auto"/>
      </w:pPr>
      <w:rPr>
        <w:color w:val="auto"/>
      </w:rPr>
      <w:tblPr/>
      <w:tcPr>
        <w:tcBorders>
          <w:top w:val="single" w:sz="6" w:space="0" w:color="000000"/>
          <w:left w:val="none" w:sz="4" w:space="0" w:color="000000"/>
          <w:bottom w:val="single" w:sz="18" w:space="0" w:color="000000"/>
          <w:right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000000"/>
          <w:right w:val="none" w:sz="4" w:space="0" w:color="000000"/>
        </w:tcBorders>
        <w:shd w:val="clear" w:color="auto" w:fill="8064A2" w:themeFill="accent4"/>
      </w:tcPr>
    </w:tblStylePr>
    <w:tblStylePr w:type="lastCol">
      <w:rPr>
        <w:b/>
        <w:bCs/>
        <w:color w:val="FFFFFF" w:themeColor="background1"/>
      </w:rPr>
      <w:tblPr/>
      <w:tcPr>
        <w:tcBorders>
          <w:left w:val="none" w:sz="4" w:space="0" w:color="000000"/>
          <w:right w:val="none" w:sz="4" w:space="0" w:color="000000"/>
        </w:tcBorders>
        <w:shd w:val="clear" w:color="auto" w:fill="8064A2" w:themeFill="accent4"/>
      </w:tcPr>
    </w:tblStylePr>
    <w:tblStylePr w:type="band1Vert">
      <w:tblPr/>
      <w:tcPr>
        <w:tcBorders>
          <w:left w:val="none" w:sz="4" w:space="0" w:color="000000"/>
          <w:right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000000"/>
          <w:left w:val="none" w:sz="4" w:space="0" w:color="000000"/>
          <w:bottom w:val="single" w:sz="18" w:space="0" w:color="000000"/>
          <w:right w:val="none" w:sz="4" w:space="0" w:color="000000"/>
        </w:tcBorders>
      </w:tcPr>
    </w:tblStylePr>
    <w:tblStylePr w:type="nwCell">
      <w:rPr>
        <w:color w:val="FFFFFF" w:themeColor="background1"/>
      </w:rPr>
      <w:tblPr/>
      <w:tcPr>
        <w:tcBorders>
          <w:top w:val="single" w:sz="18" w:space="0" w:color="000000"/>
          <w:left w:val="none" w:sz="4" w:space="0" w:color="000000"/>
          <w:bottom w:val="single" w:sz="18" w:space="0" w:color="000000"/>
          <w:right w:val="none" w:sz="4" w:space="0" w:color="000000"/>
        </w:tcBorders>
      </w:tcPr>
    </w:tblStylePr>
  </w:style>
  <w:style w:type="table" w:styleId="MittlereSchattierung2-Akzent5">
    <w:name w:val="Medium Shading 2 Accent 5"/>
    <w:basedOn w:val="NormaleTabelle"/>
    <w:uiPriority w:val="64"/>
    <w:pPr>
      <w:spacing w:after="0" w:line="240" w:lineRule="auto"/>
    </w:pPr>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000000"/>
          <w:left w:val="none" w:sz="4" w:space="0" w:color="000000"/>
          <w:bottom w:val="single" w:sz="18" w:space="0" w:color="000000"/>
          <w:right w:val="none" w:sz="4" w:space="0" w:color="000000"/>
        </w:tcBorders>
        <w:shd w:val="clear" w:color="auto" w:fill="4BACC6" w:themeFill="accent5"/>
      </w:tcPr>
    </w:tblStylePr>
    <w:tblStylePr w:type="lastRow">
      <w:pPr>
        <w:spacing w:before="0" w:after="0" w:line="240" w:lineRule="auto"/>
      </w:pPr>
      <w:rPr>
        <w:color w:val="auto"/>
      </w:rPr>
      <w:tblPr/>
      <w:tcPr>
        <w:tcBorders>
          <w:top w:val="single" w:sz="6" w:space="0" w:color="000000"/>
          <w:left w:val="none" w:sz="4" w:space="0" w:color="000000"/>
          <w:bottom w:val="single" w:sz="18" w:space="0" w:color="000000"/>
          <w:right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000000"/>
          <w:right w:val="none" w:sz="4" w:space="0" w:color="000000"/>
        </w:tcBorders>
        <w:shd w:val="clear" w:color="auto" w:fill="4BACC6" w:themeFill="accent5"/>
      </w:tcPr>
    </w:tblStylePr>
    <w:tblStylePr w:type="lastCol">
      <w:rPr>
        <w:b/>
        <w:bCs/>
        <w:color w:val="FFFFFF" w:themeColor="background1"/>
      </w:rPr>
      <w:tblPr/>
      <w:tcPr>
        <w:tcBorders>
          <w:left w:val="none" w:sz="4" w:space="0" w:color="000000"/>
          <w:right w:val="none" w:sz="4" w:space="0" w:color="000000"/>
        </w:tcBorders>
        <w:shd w:val="clear" w:color="auto" w:fill="4BACC6" w:themeFill="accent5"/>
      </w:tcPr>
    </w:tblStylePr>
    <w:tblStylePr w:type="band1Vert">
      <w:tblPr/>
      <w:tcPr>
        <w:tcBorders>
          <w:left w:val="none" w:sz="4" w:space="0" w:color="000000"/>
          <w:right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000000"/>
          <w:left w:val="none" w:sz="4" w:space="0" w:color="000000"/>
          <w:bottom w:val="single" w:sz="18" w:space="0" w:color="000000"/>
          <w:right w:val="none" w:sz="4" w:space="0" w:color="000000"/>
        </w:tcBorders>
      </w:tcPr>
    </w:tblStylePr>
    <w:tblStylePr w:type="nwCell">
      <w:rPr>
        <w:color w:val="FFFFFF" w:themeColor="background1"/>
      </w:rPr>
      <w:tblPr/>
      <w:tcPr>
        <w:tcBorders>
          <w:top w:val="single" w:sz="18" w:space="0" w:color="000000"/>
          <w:left w:val="none" w:sz="4" w:space="0" w:color="000000"/>
          <w:bottom w:val="single" w:sz="18" w:space="0" w:color="000000"/>
          <w:right w:val="none" w:sz="4" w:space="0" w:color="000000"/>
        </w:tcBorders>
      </w:tcPr>
    </w:tblStylePr>
  </w:style>
  <w:style w:type="table" w:styleId="MittlereSchattierung2-Akzent6">
    <w:name w:val="Medium Shading 2 Accent 6"/>
    <w:basedOn w:val="NormaleTabelle"/>
    <w:uiPriority w:val="64"/>
    <w:pPr>
      <w:spacing w:after="0" w:line="240" w:lineRule="auto"/>
    </w:pPr>
    <w:tblPr>
      <w:tblStyleRowBandSize w:val="1"/>
      <w:tblStyleColBandSize w:val="1"/>
      <w:tblBorders>
        <w:top w:val="single" w:sz="18" w:space="0" w:color="000000"/>
        <w:bottom w:val="single" w:sz="18" w:space="0" w:color="000000"/>
      </w:tblBorders>
    </w:tblPr>
    <w:tblStylePr w:type="firstRow">
      <w:pPr>
        <w:spacing w:before="0" w:after="0" w:line="240" w:lineRule="auto"/>
      </w:pPr>
      <w:rPr>
        <w:b/>
        <w:bCs/>
        <w:color w:val="FFFFFF" w:themeColor="background1"/>
      </w:rPr>
      <w:tblPr/>
      <w:tcPr>
        <w:tcBorders>
          <w:top w:val="single" w:sz="18" w:space="0" w:color="000000"/>
          <w:left w:val="none" w:sz="4" w:space="0" w:color="000000"/>
          <w:bottom w:val="single" w:sz="18" w:space="0" w:color="000000"/>
          <w:right w:val="none" w:sz="4" w:space="0" w:color="000000"/>
        </w:tcBorders>
        <w:shd w:val="clear" w:color="auto" w:fill="F79646" w:themeFill="accent6"/>
      </w:tcPr>
    </w:tblStylePr>
    <w:tblStylePr w:type="lastRow">
      <w:pPr>
        <w:spacing w:before="0" w:after="0" w:line="240" w:lineRule="auto"/>
      </w:pPr>
      <w:rPr>
        <w:color w:val="auto"/>
      </w:rPr>
      <w:tblPr/>
      <w:tcPr>
        <w:tcBorders>
          <w:top w:val="single" w:sz="6" w:space="0" w:color="000000"/>
          <w:left w:val="none" w:sz="4" w:space="0" w:color="000000"/>
          <w:bottom w:val="single" w:sz="18" w:space="0" w:color="000000"/>
          <w:right w:val="none" w:sz="4" w:space="0" w:color="000000"/>
        </w:tcBorders>
        <w:shd w:val="clear" w:color="auto" w:fill="FFFFFF" w:themeFill="background1"/>
      </w:tcPr>
    </w:tblStylePr>
    <w:tblStylePr w:type="firstCol">
      <w:rPr>
        <w:b/>
        <w:bCs/>
        <w:color w:val="FFFFFF" w:themeColor="background1"/>
      </w:rPr>
      <w:tblPr/>
      <w:tcPr>
        <w:tcBorders>
          <w:top w:val="none" w:sz="4" w:space="0" w:color="000000"/>
          <w:left w:val="none" w:sz="4" w:space="0" w:color="000000"/>
          <w:bottom w:val="single" w:sz="18" w:space="0" w:color="000000"/>
          <w:right w:val="none" w:sz="4" w:space="0" w:color="000000"/>
        </w:tcBorders>
        <w:shd w:val="clear" w:color="auto" w:fill="F79646" w:themeFill="accent6"/>
      </w:tcPr>
    </w:tblStylePr>
    <w:tblStylePr w:type="lastCol">
      <w:rPr>
        <w:b/>
        <w:bCs/>
        <w:color w:val="FFFFFF" w:themeColor="background1"/>
      </w:rPr>
      <w:tblPr/>
      <w:tcPr>
        <w:tcBorders>
          <w:left w:val="none" w:sz="4" w:space="0" w:color="000000"/>
          <w:right w:val="none" w:sz="4" w:space="0" w:color="000000"/>
        </w:tcBorders>
        <w:shd w:val="clear" w:color="auto" w:fill="F79646" w:themeFill="accent6"/>
      </w:tcPr>
    </w:tblStylePr>
    <w:tblStylePr w:type="band1Vert">
      <w:tblPr/>
      <w:tcPr>
        <w:tcBorders>
          <w:left w:val="none" w:sz="4" w:space="0" w:color="000000"/>
          <w:right w:val="none" w:sz="4" w:space="0" w:color="000000"/>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000000"/>
          <w:left w:val="none" w:sz="4" w:space="0" w:color="000000"/>
          <w:bottom w:val="single" w:sz="18" w:space="0" w:color="000000"/>
          <w:right w:val="none" w:sz="4" w:space="0" w:color="000000"/>
        </w:tcBorders>
      </w:tcPr>
    </w:tblStylePr>
    <w:tblStylePr w:type="nwCell">
      <w:rPr>
        <w:color w:val="FFFFFF" w:themeColor="background1"/>
      </w:rPr>
      <w:tblPr/>
      <w:tcPr>
        <w:tcBorders>
          <w:top w:val="single" w:sz="18" w:space="0" w:color="000000"/>
          <w:left w:val="none" w:sz="4" w:space="0" w:color="000000"/>
          <w:bottom w:val="single" w:sz="18" w:space="0" w:color="000000"/>
          <w:right w:val="none" w:sz="4" w:space="0" w:color="000000"/>
        </w:tcBorders>
      </w:tcPr>
    </w:tblStylePr>
  </w:style>
  <w:style w:type="table" w:styleId="MittlereListe1">
    <w:name w:val="Medium List 1"/>
    <w:basedOn w:val="NormaleTabelle"/>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one" w:sz="4" w:space="0" w:color="000000"/>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one" w:sz="4" w:space="0" w:color="000000"/>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one" w:sz="4" w:space="0" w:color="000000"/>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one" w:sz="4" w:space="0" w:color="000000"/>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one" w:sz="4" w:space="0" w:color="000000"/>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one" w:sz="4" w:space="0" w:color="000000"/>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one" w:sz="4" w:space="0" w:color="000000"/>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one" w:sz="4" w:space="0" w:color="000000"/>
          <w:left w:val="none" w:sz="4" w:space="0" w:color="000000"/>
          <w:bottom w:val="single" w:sz="24" w:space="0" w:color="000000" w:themeColor="text1"/>
          <w:right w:val="none" w:sz="4" w:space="0" w:color="000000"/>
        </w:tcBorders>
        <w:shd w:val="clear" w:color="auto" w:fill="FFFFFF" w:themeFill="background1"/>
      </w:tcPr>
    </w:tblStylePr>
    <w:tblStylePr w:type="lastRow">
      <w:tblPr/>
      <w:tcPr>
        <w:tcBorders>
          <w:top w:val="single" w:sz="8" w:space="0" w:color="000000" w:themeColor="text1"/>
          <w:left w:val="none" w:sz="4" w:space="0" w:color="000000"/>
          <w:bottom w:val="none" w:sz="4" w:space="0" w:color="000000"/>
          <w:right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000000" w:themeColor="text1"/>
        </w:tcBorders>
        <w:shd w:val="clear" w:color="auto" w:fill="FFFFFF" w:themeFill="background1"/>
      </w:tcPr>
    </w:tblStylePr>
    <w:tblStylePr w:type="lastCol">
      <w:tblPr/>
      <w:tcPr>
        <w:tcBorders>
          <w:top w:val="none" w:sz="4" w:space="0" w:color="000000"/>
          <w:left w:val="single" w:sz="8" w:space="0" w:color="000000" w:themeColor="text1"/>
          <w:bottom w:val="none" w:sz="4" w:space="0" w:color="000000"/>
          <w:right w:val="none" w:sz="4" w:space="0" w:color="000000"/>
        </w:tcBorders>
        <w:shd w:val="clear" w:color="auto" w:fill="FFFFFF" w:themeFill="background1"/>
      </w:tcPr>
    </w:tblStylePr>
    <w:tblStylePr w:type="band1Vert">
      <w:tblPr/>
      <w:tcPr>
        <w:tcBorders>
          <w:left w:val="none" w:sz="4" w:space="0" w:color="000000"/>
          <w:right w:val="none" w:sz="4" w:space="0" w:color="000000"/>
        </w:tcBorders>
        <w:shd w:val="clear" w:color="auto" w:fill="C0C0C0" w:themeFill="text1" w:themeFillTint="3F"/>
      </w:tcPr>
    </w:tblStylePr>
    <w:tblStylePr w:type="band1Horz">
      <w:tblPr/>
      <w:tcPr>
        <w:tcBorders>
          <w:top w:val="none" w:sz="4" w:space="0" w:color="000000"/>
          <w:bottom w:val="none" w:sz="4" w:space="0" w:color="000000"/>
        </w:tcBorders>
        <w:shd w:val="clear" w:color="auto" w:fill="C0C0C0" w:themeFill="text1"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ittlereListe2-Akzent1">
    <w:name w:val="Medium List 2 Accent 1"/>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one" w:sz="4" w:space="0" w:color="000000"/>
          <w:left w:val="none" w:sz="4" w:space="0" w:color="000000"/>
          <w:bottom w:val="single" w:sz="24" w:space="0" w:color="4F81BD" w:themeColor="accent1"/>
          <w:right w:val="none" w:sz="4" w:space="0" w:color="000000"/>
        </w:tcBorders>
        <w:shd w:val="clear" w:color="auto" w:fill="FFFFFF" w:themeFill="background1"/>
      </w:tcPr>
    </w:tblStylePr>
    <w:tblStylePr w:type="lastRow">
      <w:tblPr/>
      <w:tcPr>
        <w:tcBorders>
          <w:top w:val="single" w:sz="8" w:space="0" w:color="4F81BD" w:themeColor="accent1"/>
          <w:left w:val="none" w:sz="4" w:space="0" w:color="000000"/>
          <w:bottom w:val="none" w:sz="4" w:space="0" w:color="000000"/>
          <w:right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4F81BD" w:themeColor="accent1"/>
        </w:tcBorders>
        <w:shd w:val="clear" w:color="auto" w:fill="FFFFFF" w:themeFill="background1"/>
      </w:tcPr>
    </w:tblStylePr>
    <w:tblStylePr w:type="lastCol">
      <w:tblPr/>
      <w:tcPr>
        <w:tcBorders>
          <w:top w:val="none" w:sz="4" w:space="0" w:color="000000"/>
          <w:left w:val="single" w:sz="8" w:space="0" w:color="4F81BD" w:themeColor="accent1"/>
          <w:bottom w:val="none" w:sz="4" w:space="0" w:color="000000"/>
          <w:right w:val="none" w:sz="4" w:space="0" w:color="000000"/>
        </w:tcBorders>
        <w:shd w:val="clear" w:color="auto" w:fill="FFFFFF" w:themeFill="background1"/>
      </w:tcPr>
    </w:tblStylePr>
    <w:tblStylePr w:type="band1Vert">
      <w:tblPr/>
      <w:tcPr>
        <w:tcBorders>
          <w:left w:val="none" w:sz="4" w:space="0" w:color="000000"/>
          <w:right w:val="none" w:sz="4" w:space="0" w:color="000000"/>
        </w:tcBorders>
        <w:shd w:val="clear" w:color="auto" w:fill="D3DFEE" w:themeFill="accent1" w:themeFillTint="3F"/>
      </w:tcPr>
    </w:tblStylePr>
    <w:tblStylePr w:type="band1Horz">
      <w:tblPr/>
      <w:tcPr>
        <w:tcBorders>
          <w:top w:val="none" w:sz="4" w:space="0" w:color="000000"/>
          <w:bottom w:val="none" w:sz="4" w:space="0" w:color="000000"/>
        </w:tcBorders>
        <w:shd w:val="clear" w:color="auto" w:fill="D3DFEE" w:themeFill="accent1"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ittlereListe2-Akzent2">
    <w:name w:val="Medium List 2 Accent 2"/>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one" w:sz="4" w:space="0" w:color="000000"/>
          <w:left w:val="none" w:sz="4" w:space="0" w:color="000000"/>
          <w:bottom w:val="single" w:sz="24" w:space="0" w:color="C0504D" w:themeColor="accent2"/>
          <w:right w:val="none" w:sz="4" w:space="0" w:color="000000"/>
        </w:tcBorders>
        <w:shd w:val="clear" w:color="auto" w:fill="FFFFFF" w:themeFill="background1"/>
      </w:tcPr>
    </w:tblStylePr>
    <w:tblStylePr w:type="lastRow">
      <w:tblPr/>
      <w:tcPr>
        <w:tcBorders>
          <w:top w:val="single" w:sz="8" w:space="0" w:color="C0504D" w:themeColor="accent2"/>
          <w:left w:val="none" w:sz="4" w:space="0" w:color="000000"/>
          <w:bottom w:val="none" w:sz="4" w:space="0" w:color="000000"/>
          <w:right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C0504D" w:themeColor="accent2"/>
        </w:tcBorders>
        <w:shd w:val="clear" w:color="auto" w:fill="FFFFFF" w:themeFill="background1"/>
      </w:tcPr>
    </w:tblStylePr>
    <w:tblStylePr w:type="lastCol">
      <w:tblPr/>
      <w:tcPr>
        <w:tcBorders>
          <w:top w:val="none" w:sz="4" w:space="0" w:color="000000"/>
          <w:left w:val="single" w:sz="8" w:space="0" w:color="C0504D" w:themeColor="accent2"/>
          <w:bottom w:val="none" w:sz="4" w:space="0" w:color="000000"/>
          <w:right w:val="none" w:sz="4" w:space="0" w:color="000000"/>
        </w:tcBorders>
        <w:shd w:val="clear" w:color="auto" w:fill="FFFFFF" w:themeFill="background1"/>
      </w:tcPr>
    </w:tblStylePr>
    <w:tblStylePr w:type="band1Vert">
      <w:tblPr/>
      <w:tcPr>
        <w:tcBorders>
          <w:left w:val="none" w:sz="4" w:space="0" w:color="000000"/>
          <w:right w:val="none" w:sz="4" w:space="0" w:color="000000"/>
        </w:tcBorders>
        <w:shd w:val="clear" w:color="auto" w:fill="EFD3D2" w:themeFill="accent2" w:themeFillTint="3F"/>
      </w:tcPr>
    </w:tblStylePr>
    <w:tblStylePr w:type="band1Horz">
      <w:tblPr/>
      <w:tcPr>
        <w:tcBorders>
          <w:top w:val="none" w:sz="4" w:space="0" w:color="000000"/>
          <w:bottom w:val="none" w:sz="4" w:space="0" w:color="000000"/>
        </w:tcBorders>
        <w:shd w:val="clear" w:color="auto" w:fill="EFD3D2" w:themeFill="accent2"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ittlereListe2-Akzent3">
    <w:name w:val="Medium List 2 Accent 3"/>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one" w:sz="4" w:space="0" w:color="000000"/>
          <w:left w:val="none" w:sz="4" w:space="0" w:color="000000"/>
          <w:bottom w:val="single" w:sz="24" w:space="0" w:color="9BBB59" w:themeColor="accent3"/>
          <w:right w:val="none" w:sz="4" w:space="0" w:color="000000"/>
        </w:tcBorders>
        <w:shd w:val="clear" w:color="auto" w:fill="FFFFFF" w:themeFill="background1"/>
      </w:tcPr>
    </w:tblStylePr>
    <w:tblStylePr w:type="lastRow">
      <w:tblPr/>
      <w:tcPr>
        <w:tcBorders>
          <w:top w:val="single" w:sz="8" w:space="0" w:color="9BBB59" w:themeColor="accent3"/>
          <w:left w:val="none" w:sz="4" w:space="0" w:color="000000"/>
          <w:bottom w:val="none" w:sz="4" w:space="0" w:color="000000"/>
          <w:right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9BBB59" w:themeColor="accent3"/>
        </w:tcBorders>
        <w:shd w:val="clear" w:color="auto" w:fill="FFFFFF" w:themeFill="background1"/>
      </w:tcPr>
    </w:tblStylePr>
    <w:tblStylePr w:type="lastCol">
      <w:tblPr/>
      <w:tcPr>
        <w:tcBorders>
          <w:top w:val="none" w:sz="4" w:space="0" w:color="000000"/>
          <w:left w:val="single" w:sz="8" w:space="0" w:color="9BBB59" w:themeColor="accent3"/>
          <w:bottom w:val="none" w:sz="4" w:space="0" w:color="000000"/>
          <w:right w:val="none" w:sz="4" w:space="0" w:color="000000"/>
        </w:tcBorders>
        <w:shd w:val="clear" w:color="auto" w:fill="FFFFFF" w:themeFill="background1"/>
      </w:tcPr>
    </w:tblStylePr>
    <w:tblStylePr w:type="band1Vert">
      <w:tblPr/>
      <w:tcPr>
        <w:tcBorders>
          <w:left w:val="none" w:sz="4" w:space="0" w:color="000000"/>
          <w:right w:val="none" w:sz="4" w:space="0" w:color="000000"/>
        </w:tcBorders>
        <w:shd w:val="clear" w:color="auto" w:fill="E6EED5" w:themeFill="accent3" w:themeFillTint="3F"/>
      </w:tcPr>
    </w:tblStylePr>
    <w:tblStylePr w:type="band1Horz">
      <w:tblPr/>
      <w:tcPr>
        <w:tcBorders>
          <w:top w:val="none" w:sz="4" w:space="0" w:color="000000"/>
          <w:bottom w:val="none" w:sz="4" w:space="0" w:color="000000"/>
        </w:tcBorders>
        <w:shd w:val="clear" w:color="auto" w:fill="E6EED5" w:themeFill="accent3"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ittlereListe2-Akzent4">
    <w:name w:val="Medium List 2 Accent 4"/>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one" w:sz="4" w:space="0" w:color="000000"/>
          <w:left w:val="none" w:sz="4" w:space="0" w:color="000000"/>
          <w:bottom w:val="single" w:sz="24" w:space="0" w:color="8064A2" w:themeColor="accent4"/>
          <w:right w:val="none" w:sz="4" w:space="0" w:color="000000"/>
        </w:tcBorders>
        <w:shd w:val="clear" w:color="auto" w:fill="FFFFFF" w:themeFill="background1"/>
      </w:tcPr>
    </w:tblStylePr>
    <w:tblStylePr w:type="lastRow">
      <w:tblPr/>
      <w:tcPr>
        <w:tcBorders>
          <w:top w:val="single" w:sz="8" w:space="0" w:color="8064A2" w:themeColor="accent4"/>
          <w:left w:val="none" w:sz="4" w:space="0" w:color="000000"/>
          <w:bottom w:val="none" w:sz="4" w:space="0" w:color="000000"/>
          <w:right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8064A2" w:themeColor="accent4"/>
        </w:tcBorders>
        <w:shd w:val="clear" w:color="auto" w:fill="FFFFFF" w:themeFill="background1"/>
      </w:tcPr>
    </w:tblStylePr>
    <w:tblStylePr w:type="lastCol">
      <w:tblPr/>
      <w:tcPr>
        <w:tcBorders>
          <w:top w:val="none" w:sz="4" w:space="0" w:color="000000"/>
          <w:left w:val="single" w:sz="8" w:space="0" w:color="8064A2" w:themeColor="accent4"/>
          <w:bottom w:val="none" w:sz="4" w:space="0" w:color="000000"/>
          <w:right w:val="none" w:sz="4" w:space="0" w:color="000000"/>
        </w:tcBorders>
        <w:shd w:val="clear" w:color="auto" w:fill="FFFFFF" w:themeFill="background1"/>
      </w:tcPr>
    </w:tblStylePr>
    <w:tblStylePr w:type="band1Vert">
      <w:tblPr/>
      <w:tcPr>
        <w:tcBorders>
          <w:left w:val="none" w:sz="4" w:space="0" w:color="000000"/>
          <w:right w:val="none" w:sz="4" w:space="0" w:color="000000"/>
        </w:tcBorders>
        <w:shd w:val="clear" w:color="auto" w:fill="DFD8E8" w:themeFill="accent4" w:themeFillTint="3F"/>
      </w:tcPr>
    </w:tblStylePr>
    <w:tblStylePr w:type="band1Horz">
      <w:tblPr/>
      <w:tcPr>
        <w:tcBorders>
          <w:top w:val="none" w:sz="4" w:space="0" w:color="000000"/>
          <w:bottom w:val="none" w:sz="4" w:space="0" w:color="000000"/>
        </w:tcBorders>
        <w:shd w:val="clear" w:color="auto" w:fill="DFD8E8" w:themeFill="accent4"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ittlereListe2-Akzent5">
    <w:name w:val="Medium List 2 Accent 5"/>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one" w:sz="4" w:space="0" w:color="000000"/>
          <w:left w:val="none" w:sz="4" w:space="0" w:color="000000"/>
          <w:bottom w:val="single" w:sz="24" w:space="0" w:color="4BACC6" w:themeColor="accent5"/>
          <w:right w:val="none" w:sz="4" w:space="0" w:color="000000"/>
        </w:tcBorders>
        <w:shd w:val="clear" w:color="auto" w:fill="FFFFFF" w:themeFill="background1"/>
      </w:tcPr>
    </w:tblStylePr>
    <w:tblStylePr w:type="lastRow">
      <w:tblPr/>
      <w:tcPr>
        <w:tcBorders>
          <w:top w:val="single" w:sz="8" w:space="0" w:color="4BACC6" w:themeColor="accent5"/>
          <w:left w:val="none" w:sz="4" w:space="0" w:color="000000"/>
          <w:bottom w:val="none" w:sz="4" w:space="0" w:color="000000"/>
          <w:right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4BACC6" w:themeColor="accent5"/>
        </w:tcBorders>
        <w:shd w:val="clear" w:color="auto" w:fill="FFFFFF" w:themeFill="background1"/>
      </w:tcPr>
    </w:tblStylePr>
    <w:tblStylePr w:type="lastCol">
      <w:tblPr/>
      <w:tcPr>
        <w:tcBorders>
          <w:top w:val="none" w:sz="4" w:space="0" w:color="000000"/>
          <w:left w:val="single" w:sz="8" w:space="0" w:color="4BACC6" w:themeColor="accent5"/>
          <w:bottom w:val="none" w:sz="4" w:space="0" w:color="000000"/>
          <w:right w:val="none" w:sz="4" w:space="0" w:color="000000"/>
        </w:tcBorders>
        <w:shd w:val="clear" w:color="auto" w:fill="FFFFFF" w:themeFill="background1"/>
      </w:tcPr>
    </w:tblStylePr>
    <w:tblStylePr w:type="band1Vert">
      <w:tblPr/>
      <w:tcPr>
        <w:tcBorders>
          <w:left w:val="none" w:sz="4" w:space="0" w:color="000000"/>
          <w:right w:val="none" w:sz="4" w:space="0" w:color="000000"/>
        </w:tcBorders>
        <w:shd w:val="clear" w:color="auto" w:fill="D2EAF1" w:themeFill="accent5" w:themeFillTint="3F"/>
      </w:tcPr>
    </w:tblStylePr>
    <w:tblStylePr w:type="band1Horz">
      <w:tblPr/>
      <w:tcPr>
        <w:tcBorders>
          <w:top w:val="none" w:sz="4" w:space="0" w:color="000000"/>
          <w:bottom w:val="none" w:sz="4" w:space="0" w:color="000000"/>
        </w:tcBorders>
        <w:shd w:val="clear" w:color="auto" w:fill="D2EAF1" w:themeFill="accent5"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ittlereListe2-Akzent6">
    <w:name w:val="Medium List 2 Accent 6"/>
    <w:basedOn w:val="NormaleTabelle"/>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one" w:sz="4" w:space="0" w:color="000000"/>
          <w:left w:val="none" w:sz="4" w:space="0" w:color="000000"/>
          <w:bottom w:val="single" w:sz="24" w:space="0" w:color="F79646" w:themeColor="accent6"/>
          <w:right w:val="none" w:sz="4" w:space="0" w:color="000000"/>
        </w:tcBorders>
        <w:shd w:val="clear" w:color="auto" w:fill="FFFFFF" w:themeFill="background1"/>
      </w:tcPr>
    </w:tblStylePr>
    <w:tblStylePr w:type="lastRow">
      <w:tblPr/>
      <w:tcPr>
        <w:tcBorders>
          <w:top w:val="single" w:sz="8" w:space="0" w:color="F79646" w:themeColor="accent6"/>
          <w:left w:val="none" w:sz="4" w:space="0" w:color="000000"/>
          <w:bottom w:val="none" w:sz="4" w:space="0" w:color="000000"/>
          <w:right w:val="none" w:sz="4" w:space="0" w:color="000000"/>
        </w:tcBorders>
        <w:shd w:val="clear" w:color="auto" w:fill="FFFFFF" w:themeFill="background1"/>
      </w:tcPr>
    </w:tblStylePr>
    <w:tblStylePr w:type="firstCol">
      <w:tblPr/>
      <w:tcPr>
        <w:tcBorders>
          <w:top w:val="none" w:sz="4" w:space="0" w:color="000000"/>
          <w:left w:val="none" w:sz="4" w:space="0" w:color="000000"/>
          <w:bottom w:val="none" w:sz="4" w:space="0" w:color="000000"/>
          <w:right w:val="single" w:sz="8" w:space="0" w:color="F79646" w:themeColor="accent6"/>
        </w:tcBorders>
        <w:shd w:val="clear" w:color="auto" w:fill="FFFFFF" w:themeFill="background1"/>
      </w:tcPr>
    </w:tblStylePr>
    <w:tblStylePr w:type="lastCol">
      <w:tblPr/>
      <w:tcPr>
        <w:tcBorders>
          <w:top w:val="none" w:sz="4" w:space="0" w:color="000000"/>
          <w:left w:val="single" w:sz="8" w:space="0" w:color="F79646" w:themeColor="accent6"/>
          <w:bottom w:val="none" w:sz="4" w:space="0" w:color="000000"/>
          <w:right w:val="none" w:sz="4" w:space="0" w:color="000000"/>
        </w:tcBorders>
        <w:shd w:val="clear" w:color="auto" w:fill="FFFFFF" w:themeFill="background1"/>
      </w:tcPr>
    </w:tblStylePr>
    <w:tblStylePr w:type="band1Vert">
      <w:tblPr/>
      <w:tcPr>
        <w:tcBorders>
          <w:left w:val="none" w:sz="4" w:space="0" w:color="000000"/>
          <w:right w:val="none" w:sz="4" w:space="0" w:color="000000"/>
        </w:tcBorders>
        <w:shd w:val="clear" w:color="auto" w:fill="FDE4D0" w:themeFill="accent6" w:themeFillTint="3F"/>
      </w:tcPr>
    </w:tblStylePr>
    <w:tblStylePr w:type="band1Horz">
      <w:tblPr/>
      <w:tcPr>
        <w:tcBorders>
          <w:top w:val="none" w:sz="4" w:space="0" w:color="000000"/>
          <w:bottom w:val="none" w:sz="4" w:space="0" w:color="000000"/>
        </w:tcBorders>
        <w:shd w:val="clear" w:color="auto" w:fill="FDE4D0" w:themeFill="accent6" w:themeFillTint="3F"/>
      </w:tcPr>
    </w:tblStylePr>
    <w:tblStylePr w:type="nwCell">
      <w:tblPr/>
      <w:tcPr>
        <w:shd w:val="clear" w:color="auto" w:fill="FFFFFF" w:themeFill="background1"/>
      </w:tcPr>
    </w:tblStylePr>
    <w:tblStylePr w:type="swCell">
      <w:tblPr/>
      <w:tcPr>
        <w:tcBorders>
          <w:top w:val="none" w:sz="4" w:space="0" w:color="000000"/>
        </w:tcBorders>
      </w:tcPr>
    </w:tblStylePr>
  </w:style>
  <w:style w:type="table" w:styleId="MittleresRaster1">
    <w:name w:val="Medium Grid 1"/>
    <w:basedOn w:val="NormaleTabelle"/>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tcBorders>
        <w:shd w:val="clear" w:color="auto" w:fill="CCCCCC" w:themeFill="text1" w:themeFillTint="33"/>
      </w:tcPr>
    </w:tblStylePr>
    <w:tblStylePr w:type="band1Vert">
      <w:tblPr/>
      <w:tcPr>
        <w:shd w:val="clear" w:color="auto" w:fill="808080" w:themeFill="text1" w:themeFillTint="7F"/>
      </w:tcPr>
    </w:tblStylePr>
    <w:tblStylePr w:type="band1Horz">
      <w:tblPr/>
      <w:tcPr>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tcBorders>
        <w:shd w:val="clear" w:color="auto" w:fill="DBE5F1" w:themeFill="accent1" w:themeFillTint="33"/>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tcBorders>
        <w:shd w:val="clear" w:color="auto" w:fill="F2DBDB" w:themeFill="accent2" w:themeFillTint="33"/>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tcBorders>
        <w:shd w:val="clear" w:color="auto" w:fill="EAF1DD" w:themeFill="accent3" w:themeFillTint="33"/>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tcBorders>
        <w:shd w:val="clear" w:color="auto" w:fill="E5DFEC" w:themeFill="accent4" w:themeFillTint="33"/>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tcBorders>
        <w:shd w:val="clear" w:color="auto" w:fill="DAEEF3" w:themeFill="accent5" w:themeFillTint="33"/>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one" w:sz="4" w:space="0" w:color="000000"/>
          <w:bottom w:val="none" w:sz="4" w:space="0" w:color="000000"/>
          <w:right w:val="none" w:sz="4" w:space="0" w:color="000000"/>
        </w:tcBorders>
        <w:shd w:val="clear" w:color="auto" w:fill="FFFFFF" w:themeFill="background1"/>
      </w:tcPr>
    </w:tblStylePr>
    <w:tblStylePr w:type="firstCol">
      <w:rPr>
        <w:b/>
        <w:bCs/>
        <w:color w:val="000000" w:themeColor="text1"/>
      </w:rPr>
      <w:tblPr/>
      <w:tcPr>
        <w:tcBorders>
          <w:top w:val="none" w:sz="4" w:space="0" w:color="000000"/>
          <w:left w:val="none" w:sz="4" w:space="0" w:color="000000"/>
          <w:bottom w:val="none" w:sz="4" w:space="0" w:color="000000"/>
          <w:right w:val="none" w:sz="4" w:space="0" w:color="000000"/>
        </w:tcBorders>
        <w:shd w:val="clear" w:color="auto" w:fill="FFFFFF" w:themeFill="background1"/>
      </w:tcPr>
    </w:tblStylePr>
    <w:tblStylePr w:type="lastCol">
      <w:rPr>
        <w:b w:val="0"/>
        <w:bCs w:val="0"/>
        <w:color w:val="000000" w:themeColor="text1"/>
      </w:rPr>
      <w:tblPr/>
      <w:tcPr>
        <w:tcBorders>
          <w:top w:val="none" w:sz="4" w:space="0" w:color="000000"/>
          <w:left w:val="none" w:sz="4" w:space="0" w:color="000000"/>
          <w:bottom w:val="none" w:sz="4" w:space="0" w:color="000000"/>
          <w:right w:val="none" w:sz="4" w:space="0" w:color="000000"/>
        </w:tcBorders>
        <w:shd w:val="clear" w:color="auto" w:fill="FDE9D9" w:themeFill="accent6" w:themeFillTint="33"/>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tcBorders>
        <w:shd w:val="clear" w:color="auto" w:fill="000000" w:themeFill="text1"/>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tcBorders>
        <w:shd w:val="clear" w:color="auto" w:fill="4F81BD" w:themeFill="accent1"/>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tcBorders>
        <w:shd w:val="clear" w:color="auto" w:fill="C0504D" w:themeFill="accent2"/>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tcBorders>
        <w:shd w:val="clear" w:color="auto" w:fill="9BBB59" w:themeFill="accent3"/>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tcBorders>
        <w:shd w:val="clear" w:color="auto" w:fill="8064A2" w:themeFill="accent4"/>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tcBorders>
        <w:shd w:val="clear" w:color="auto" w:fill="4BACC6" w:themeFill="accent5"/>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tcBorders>
        <w:shd w:val="clear" w:color="auto" w:fill="F79646" w:themeFill="accent6"/>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BCAA2" w:themeFill="accent6" w:themeFillTint="7F"/>
      </w:tcPr>
    </w:tblStylePr>
  </w:style>
  <w:style w:type="table" w:styleId="DunkleListe">
    <w:name w:val="Dark List"/>
    <w:basedOn w:val="NormaleTabelle"/>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one" w:sz="4" w:space="0" w:color="000000"/>
          <w:left w:val="none" w:sz="4" w:space="0" w:color="000000"/>
          <w:bottom w:val="single" w:sz="18" w:space="0" w:color="FFFFFF" w:themeColor="background1"/>
          <w:right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tcBorders>
        <w:shd w:val="clear" w:color="auto" w:fill="000000" w:themeFill="text1"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tcBorders>
        <w:shd w:val="clear" w:color="auto" w:fill="000000" w:themeFill="text1" w:themeFillShade="BF"/>
      </w:tcPr>
    </w:tblStylePr>
    <w:tblStylePr w:type="lastCol">
      <w:tblPr/>
      <w:tcPr>
        <w:tcBorders>
          <w:top w:val="none" w:sz="4" w:space="0" w:color="000000"/>
          <w:left w:val="single" w:sz="18" w:space="0" w:color="FFFFFF" w:themeColor="background1"/>
          <w:bottom w:val="none" w:sz="4" w:space="0" w:color="000000"/>
          <w:right w:val="none" w:sz="4" w:space="0" w:color="000000"/>
        </w:tcBorders>
        <w:shd w:val="clear" w:color="auto" w:fill="000000" w:themeFill="text1" w:themeFillShade="BF"/>
      </w:tcPr>
    </w:tblStylePr>
    <w:tblStylePr w:type="band1Vert">
      <w:tblPr/>
      <w:tcPr>
        <w:tcBorders>
          <w:top w:val="none" w:sz="4" w:space="0" w:color="000000"/>
          <w:left w:val="none" w:sz="4" w:space="0" w:color="000000"/>
          <w:bottom w:val="none" w:sz="4" w:space="0" w:color="000000"/>
          <w:right w:val="none" w:sz="4" w:space="0" w:color="000000"/>
        </w:tcBorders>
        <w:shd w:val="clear" w:color="auto" w:fill="000000" w:themeFill="text1" w:themeFillShade="BF"/>
      </w:tcPr>
    </w:tblStylePr>
    <w:tblStylePr w:type="band1Horz">
      <w:tblPr/>
      <w:tcPr>
        <w:tcBorders>
          <w:top w:val="none" w:sz="4" w:space="0" w:color="000000"/>
          <w:left w:val="none" w:sz="4" w:space="0" w:color="000000"/>
          <w:bottom w:val="none" w:sz="4" w:space="0" w:color="000000"/>
          <w:right w:val="none" w:sz="4" w:space="0" w:color="000000"/>
        </w:tcBorders>
        <w:shd w:val="clear" w:color="auto" w:fill="000000" w:themeFill="text1" w:themeFillShade="BF"/>
      </w:tcPr>
    </w:tblStylePr>
  </w:style>
  <w:style w:type="table" w:styleId="DunkleListe-Akzent1">
    <w:name w:val="Dark List Accent 1"/>
    <w:basedOn w:val="NormaleTabelle"/>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one" w:sz="4" w:space="0" w:color="000000"/>
          <w:left w:val="none" w:sz="4" w:space="0" w:color="000000"/>
          <w:bottom w:val="single" w:sz="18" w:space="0" w:color="FFFFFF" w:themeColor="background1"/>
          <w:right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tcBorders>
        <w:shd w:val="clear" w:color="auto" w:fill="243F60" w:themeFill="accent1"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tcBorders>
        <w:shd w:val="clear" w:color="auto" w:fill="365F91" w:themeFill="accent1" w:themeFillShade="BF"/>
      </w:tcPr>
    </w:tblStylePr>
    <w:tblStylePr w:type="lastCol">
      <w:tblPr/>
      <w:tcPr>
        <w:tcBorders>
          <w:top w:val="none" w:sz="4" w:space="0" w:color="000000"/>
          <w:left w:val="single" w:sz="18" w:space="0" w:color="FFFFFF" w:themeColor="background1"/>
          <w:bottom w:val="none" w:sz="4" w:space="0" w:color="000000"/>
          <w:right w:val="none" w:sz="4" w:space="0" w:color="000000"/>
        </w:tcBorders>
        <w:shd w:val="clear" w:color="auto" w:fill="365F91" w:themeFill="accent1" w:themeFillShade="BF"/>
      </w:tcPr>
    </w:tblStylePr>
    <w:tblStylePr w:type="band1Vert">
      <w:tblPr/>
      <w:tcPr>
        <w:tcBorders>
          <w:top w:val="none" w:sz="4" w:space="0" w:color="000000"/>
          <w:left w:val="none" w:sz="4" w:space="0" w:color="000000"/>
          <w:bottom w:val="none" w:sz="4" w:space="0" w:color="000000"/>
          <w:right w:val="none" w:sz="4" w:space="0" w:color="000000"/>
        </w:tcBorders>
        <w:shd w:val="clear" w:color="auto" w:fill="365F91" w:themeFill="accent1" w:themeFillShade="BF"/>
      </w:tcPr>
    </w:tblStylePr>
    <w:tblStylePr w:type="band1Horz">
      <w:tblPr/>
      <w:tcPr>
        <w:tcBorders>
          <w:top w:val="none" w:sz="4" w:space="0" w:color="000000"/>
          <w:left w:val="none" w:sz="4" w:space="0" w:color="000000"/>
          <w:bottom w:val="none" w:sz="4" w:space="0" w:color="000000"/>
          <w:right w:val="none" w:sz="4" w:space="0" w:color="000000"/>
        </w:tcBorders>
        <w:shd w:val="clear" w:color="auto" w:fill="365F91" w:themeFill="accent1" w:themeFillShade="BF"/>
      </w:tcPr>
    </w:tblStylePr>
  </w:style>
  <w:style w:type="table" w:styleId="DunkleListe-Akzent2">
    <w:name w:val="Dark List Accent 2"/>
    <w:basedOn w:val="NormaleTabelle"/>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one" w:sz="4" w:space="0" w:color="000000"/>
          <w:left w:val="none" w:sz="4" w:space="0" w:color="000000"/>
          <w:bottom w:val="single" w:sz="18" w:space="0" w:color="FFFFFF" w:themeColor="background1"/>
          <w:right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tcBorders>
        <w:shd w:val="clear" w:color="auto" w:fill="622423" w:themeFill="accent2"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tcBorders>
        <w:shd w:val="clear" w:color="auto" w:fill="943634" w:themeFill="accent2" w:themeFillShade="BF"/>
      </w:tcPr>
    </w:tblStylePr>
    <w:tblStylePr w:type="lastCol">
      <w:tblPr/>
      <w:tcPr>
        <w:tcBorders>
          <w:top w:val="none" w:sz="4" w:space="0" w:color="000000"/>
          <w:left w:val="single" w:sz="18" w:space="0" w:color="FFFFFF" w:themeColor="background1"/>
          <w:bottom w:val="none" w:sz="4" w:space="0" w:color="000000"/>
          <w:right w:val="none" w:sz="4" w:space="0" w:color="000000"/>
        </w:tcBorders>
        <w:shd w:val="clear" w:color="auto" w:fill="943634" w:themeFill="accent2" w:themeFillShade="BF"/>
      </w:tcPr>
    </w:tblStylePr>
    <w:tblStylePr w:type="band1Vert">
      <w:tblPr/>
      <w:tcPr>
        <w:tcBorders>
          <w:top w:val="none" w:sz="4" w:space="0" w:color="000000"/>
          <w:left w:val="none" w:sz="4" w:space="0" w:color="000000"/>
          <w:bottom w:val="none" w:sz="4" w:space="0" w:color="000000"/>
          <w:right w:val="none" w:sz="4" w:space="0" w:color="000000"/>
        </w:tcBorders>
        <w:shd w:val="clear" w:color="auto" w:fill="943634" w:themeFill="accent2" w:themeFillShade="BF"/>
      </w:tcPr>
    </w:tblStylePr>
    <w:tblStylePr w:type="band1Horz">
      <w:tblPr/>
      <w:tcPr>
        <w:tcBorders>
          <w:top w:val="none" w:sz="4" w:space="0" w:color="000000"/>
          <w:left w:val="none" w:sz="4" w:space="0" w:color="000000"/>
          <w:bottom w:val="none" w:sz="4" w:space="0" w:color="000000"/>
          <w:right w:val="none" w:sz="4" w:space="0" w:color="000000"/>
        </w:tcBorders>
        <w:shd w:val="clear" w:color="auto" w:fill="943634" w:themeFill="accent2" w:themeFillShade="BF"/>
      </w:tcPr>
    </w:tblStylePr>
  </w:style>
  <w:style w:type="table" w:styleId="DunkleListe-Akzent3">
    <w:name w:val="Dark List Accent 3"/>
    <w:basedOn w:val="NormaleTabelle"/>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one" w:sz="4" w:space="0" w:color="000000"/>
          <w:left w:val="none" w:sz="4" w:space="0" w:color="000000"/>
          <w:bottom w:val="single" w:sz="18" w:space="0" w:color="FFFFFF" w:themeColor="background1"/>
          <w:right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tcBorders>
        <w:shd w:val="clear" w:color="auto" w:fill="4E6128" w:themeFill="accent3"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tcBorders>
        <w:shd w:val="clear" w:color="auto" w:fill="76923C" w:themeFill="accent3" w:themeFillShade="BF"/>
      </w:tcPr>
    </w:tblStylePr>
    <w:tblStylePr w:type="lastCol">
      <w:tblPr/>
      <w:tcPr>
        <w:tcBorders>
          <w:top w:val="none" w:sz="4" w:space="0" w:color="000000"/>
          <w:left w:val="single" w:sz="18" w:space="0" w:color="FFFFFF" w:themeColor="background1"/>
          <w:bottom w:val="none" w:sz="4" w:space="0" w:color="000000"/>
          <w:right w:val="none" w:sz="4" w:space="0" w:color="000000"/>
        </w:tcBorders>
        <w:shd w:val="clear" w:color="auto" w:fill="76923C" w:themeFill="accent3" w:themeFillShade="BF"/>
      </w:tcPr>
    </w:tblStylePr>
    <w:tblStylePr w:type="band1Vert">
      <w:tblPr/>
      <w:tcPr>
        <w:tcBorders>
          <w:top w:val="none" w:sz="4" w:space="0" w:color="000000"/>
          <w:left w:val="none" w:sz="4" w:space="0" w:color="000000"/>
          <w:bottom w:val="none" w:sz="4" w:space="0" w:color="000000"/>
          <w:right w:val="none" w:sz="4" w:space="0" w:color="000000"/>
        </w:tcBorders>
        <w:shd w:val="clear" w:color="auto" w:fill="76923C" w:themeFill="accent3" w:themeFillShade="BF"/>
      </w:tcPr>
    </w:tblStylePr>
    <w:tblStylePr w:type="band1Horz">
      <w:tblPr/>
      <w:tcPr>
        <w:tcBorders>
          <w:top w:val="none" w:sz="4" w:space="0" w:color="000000"/>
          <w:left w:val="none" w:sz="4" w:space="0" w:color="000000"/>
          <w:bottom w:val="none" w:sz="4" w:space="0" w:color="000000"/>
          <w:right w:val="none" w:sz="4" w:space="0" w:color="000000"/>
        </w:tcBorders>
        <w:shd w:val="clear" w:color="auto" w:fill="76923C" w:themeFill="accent3" w:themeFillShade="BF"/>
      </w:tcPr>
    </w:tblStylePr>
  </w:style>
  <w:style w:type="table" w:styleId="DunkleListe-Akzent4">
    <w:name w:val="Dark List Accent 4"/>
    <w:basedOn w:val="NormaleTabelle"/>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one" w:sz="4" w:space="0" w:color="000000"/>
          <w:left w:val="none" w:sz="4" w:space="0" w:color="000000"/>
          <w:bottom w:val="single" w:sz="18" w:space="0" w:color="FFFFFF" w:themeColor="background1"/>
          <w:right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tcBorders>
        <w:shd w:val="clear" w:color="auto" w:fill="3F3151" w:themeFill="accent4"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tcBorders>
        <w:shd w:val="clear" w:color="auto" w:fill="5F497A" w:themeFill="accent4" w:themeFillShade="BF"/>
      </w:tcPr>
    </w:tblStylePr>
    <w:tblStylePr w:type="lastCol">
      <w:tblPr/>
      <w:tcPr>
        <w:tcBorders>
          <w:top w:val="none" w:sz="4" w:space="0" w:color="000000"/>
          <w:left w:val="single" w:sz="18" w:space="0" w:color="FFFFFF" w:themeColor="background1"/>
          <w:bottom w:val="none" w:sz="4" w:space="0" w:color="000000"/>
          <w:right w:val="none" w:sz="4" w:space="0" w:color="000000"/>
        </w:tcBorders>
        <w:shd w:val="clear" w:color="auto" w:fill="5F497A" w:themeFill="accent4" w:themeFillShade="BF"/>
      </w:tcPr>
    </w:tblStylePr>
    <w:tblStylePr w:type="band1Vert">
      <w:tblPr/>
      <w:tcPr>
        <w:tcBorders>
          <w:top w:val="none" w:sz="4" w:space="0" w:color="000000"/>
          <w:left w:val="none" w:sz="4" w:space="0" w:color="000000"/>
          <w:bottom w:val="none" w:sz="4" w:space="0" w:color="000000"/>
          <w:right w:val="none" w:sz="4" w:space="0" w:color="000000"/>
        </w:tcBorders>
        <w:shd w:val="clear" w:color="auto" w:fill="5F497A" w:themeFill="accent4" w:themeFillShade="BF"/>
      </w:tcPr>
    </w:tblStylePr>
    <w:tblStylePr w:type="band1Horz">
      <w:tblPr/>
      <w:tcPr>
        <w:tcBorders>
          <w:top w:val="none" w:sz="4" w:space="0" w:color="000000"/>
          <w:left w:val="none" w:sz="4" w:space="0" w:color="000000"/>
          <w:bottom w:val="none" w:sz="4" w:space="0" w:color="000000"/>
          <w:right w:val="none" w:sz="4" w:space="0" w:color="000000"/>
        </w:tcBorders>
        <w:shd w:val="clear" w:color="auto" w:fill="5F497A" w:themeFill="accent4" w:themeFillShade="BF"/>
      </w:tcPr>
    </w:tblStylePr>
  </w:style>
  <w:style w:type="table" w:styleId="DunkleListe-Akzent5">
    <w:name w:val="Dark List Accent 5"/>
    <w:basedOn w:val="NormaleTabelle"/>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one" w:sz="4" w:space="0" w:color="000000"/>
          <w:left w:val="none" w:sz="4" w:space="0" w:color="000000"/>
          <w:bottom w:val="single" w:sz="18" w:space="0" w:color="FFFFFF" w:themeColor="background1"/>
          <w:right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tcBorders>
        <w:shd w:val="clear" w:color="auto" w:fill="205867" w:themeFill="accent5"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tcBorders>
        <w:shd w:val="clear" w:color="auto" w:fill="31849B" w:themeFill="accent5" w:themeFillShade="BF"/>
      </w:tcPr>
    </w:tblStylePr>
    <w:tblStylePr w:type="lastCol">
      <w:tblPr/>
      <w:tcPr>
        <w:tcBorders>
          <w:top w:val="none" w:sz="4" w:space="0" w:color="000000"/>
          <w:left w:val="single" w:sz="18" w:space="0" w:color="FFFFFF" w:themeColor="background1"/>
          <w:bottom w:val="none" w:sz="4" w:space="0" w:color="000000"/>
          <w:right w:val="none" w:sz="4" w:space="0" w:color="000000"/>
        </w:tcBorders>
        <w:shd w:val="clear" w:color="auto" w:fill="31849B" w:themeFill="accent5" w:themeFillShade="BF"/>
      </w:tcPr>
    </w:tblStylePr>
    <w:tblStylePr w:type="band1Vert">
      <w:tblPr/>
      <w:tcPr>
        <w:tcBorders>
          <w:top w:val="none" w:sz="4" w:space="0" w:color="000000"/>
          <w:left w:val="none" w:sz="4" w:space="0" w:color="000000"/>
          <w:bottom w:val="none" w:sz="4" w:space="0" w:color="000000"/>
          <w:right w:val="none" w:sz="4" w:space="0" w:color="000000"/>
        </w:tcBorders>
        <w:shd w:val="clear" w:color="auto" w:fill="31849B" w:themeFill="accent5" w:themeFillShade="BF"/>
      </w:tcPr>
    </w:tblStylePr>
    <w:tblStylePr w:type="band1Horz">
      <w:tblPr/>
      <w:tcPr>
        <w:tcBorders>
          <w:top w:val="none" w:sz="4" w:space="0" w:color="000000"/>
          <w:left w:val="none" w:sz="4" w:space="0" w:color="000000"/>
          <w:bottom w:val="none" w:sz="4" w:space="0" w:color="000000"/>
          <w:right w:val="none" w:sz="4" w:space="0" w:color="000000"/>
        </w:tcBorders>
        <w:shd w:val="clear" w:color="auto" w:fill="31849B" w:themeFill="accent5" w:themeFillShade="BF"/>
      </w:tcPr>
    </w:tblStylePr>
  </w:style>
  <w:style w:type="table" w:styleId="DunkleListe-Akzent6">
    <w:name w:val="Dark List Accent 6"/>
    <w:basedOn w:val="NormaleTabelle"/>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one" w:sz="4" w:space="0" w:color="000000"/>
          <w:left w:val="none" w:sz="4" w:space="0" w:color="000000"/>
          <w:bottom w:val="single" w:sz="18" w:space="0" w:color="FFFFFF" w:themeColor="background1"/>
          <w:right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tcBorders>
        <w:shd w:val="clear" w:color="auto" w:fill="974706" w:themeFill="accent6"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tcBorders>
        <w:shd w:val="clear" w:color="auto" w:fill="E36C0A" w:themeFill="accent6" w:themeFillShade="BF"/>
      </w:tcPr>
    </w:tblStylePr>
    <w:tblStylePr w:type="lastCol">
      <w:tblPr/>
      <w:tcPr>
        <w:tcBorders>
          <w:top w:val="none" w:sz="4" w:space="0" w:color="000000"/>
          <w:left w:val="single" w:sz="18" w:space="0" w:color="FFFFFF" w:themeColor="background1"/>
          <w:bottom w:val="none" w:sz="4" w:space="0" w:color="000000"/>
          <w:right w:val="none" w:sz="4" w:space="0" w:color="000000"/>
        </w:tcBorders>
        <w:shd w:val="clear" w:color="auto" w:fill="E36C0A" w:themeFill="accent6" w:themeFillShade="BF"/>
      </w:tcPr>
    </w:tblStylePr>
    <w:tblStylePr w:type="band1Vert">
      <w:tblPr/>
      <w:tcPr>
        <w:tcBorders>
          <w:top w:val="none" w:sz="4" w:space="0" w:color="000000"/>
          <w:left w:val="none" w:sz="4" w:space="0" w:color="000000"/>
          <w:bottom w:val="none" w:sz="4" w:space="0" w:color="000000"/>
          <w:right w:val="none" w:sz="4" w:space="0" w:color="000000"/>
        </w:tcBorders>
        <w:shd w:val="clear" w:color="auto" w:fill="E36C0A" w:themeFill="accent6" w:themeFillShade="BF"/>
      </w:tcPr>
    </w:tblStylePr>
    <w:tblStylePr w:type="band1Horz">
      <w:tblPr/>
      <w:tcPr>
        <w:tcBorders>
          <w:top w:val="none" w:sz="4" w:space="0" w:color="000000"/>
          <w:left w:val="none" w:sz="4" w:space="0" w:color="000000"/>
          <w:bottom w:val="none" w:sz="4" w:space="0" w:color="000000"/>
          <w:right w:val="none" w:sz="4" w:space="0" w:color="000000"/>
        </w:tcBorders>
        <w:shd w:val="clear" w:color="auto" w:fill="E36C0A" w:themeFill="accent6" w:themeFillShade="BF"/>
      </w:tcPr>
    </w:tblStylePr>
  </w:style>
  <w:style w:type="table" w:styleId="FarbigeSchattierung">
    <w:name w:val="Colorful Shading"/>
    <w:basedOn w:val="NormaleTabelle"/>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one" w:sz="4" w:space="0" w:color="000000"/>
          <w:left w:val="none" w:sz="4" w:space="0" w:color="000000"/>
          <w:bottom w:val="single" w:sz="24" w:space="0" w:color="C0504D" w:themeColor="accent2"/>
          <w:right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tcBorders>
        <w:shd w:val="clear" w:color="auto" w:fill="000000" w:themeFill="text1"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one" w:sz="4" w:space="0" w:color="000000"/>
          <w:left w:val="none" w:sz="4" w:space="0" w:color="000000"/>
          <w:bottom w:val="single" w:sz="24" w:space="0" w:color="C0504D" w:themeColor="accent2"/>
          <w:right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tcBorders>
        <w:shd w:val="clear" w:color="auto" w:fill="2C4C74" w:themeFill="accent1"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one" w:sz="4" w:space="0" w:color="000000"/>
          <w:left w:val="none" w:sz="4" w:space="0" w:color="000000"/>
          <w:bottom w:val="single" w:sz="24" w:space="0" w:color="C0504D" w:themeColor="accent2"/>
          <w:right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tcBorders>
        <w:shd w:val="clear" w:color="auto" w:fill="772C2A" w:themeFill="accent2"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one" w:sz="4" w:space="0" w:color="000000"/>
          <w:left w:val="none" w:sz="4" w:space="0" w:color="000000"/>
          <w:bottom w:val="single" w:sz="24" w:space="0" w:color="8064A2" w:themeColor="accent4"/>
          <w:right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tcBorders>
        <w:shd w:val="clear" w:color="auto" w:fill="5E7530" w:themeFill="accent3"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one" w:sz="4" w:space="0" w:color="000000"/>
          <w:left w:val="none" w:sz="4" w:space="0" w:color="000000"/>
          <w:bottom w:val="single" w:sz="24" w:space="0" w:color="9BBB59" w:themeColor="accent3"/>
          <w:right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tcBorders>
        <w:shd w:val="clear" w:color="auto" w:fill="4C3B62" w:themeFill="accent4"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one" w:sz="4" w:space="0" w:color="000000"/>
          <w:left w:val="none" w:sz="4" w:space="0" w:color="000000"/>
          <w:bottom w:val="single" w:sz="24" w:space="0" w:color="F79646" w:themeColor="accent6"/>
          <w:right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tcBorders>
        <w:shd w:val="clear" w:color="auto" w:fill="276A7C" w:themeFill="accent5"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one" w:sz="4" w:space="0" w:color="000000"/>
          <w:left w:val="none" w:sz="4" w:space="0" w:color="000000"/>
          <w:bottom w:val="single" w:sz="24" w:space="0" w:color="4BACC6" w:themeColor="accent5"/>
          <w:right w:val="none" w:sz="4" w:space="0" w:color="000000"/>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one" w:sz="4" w:space="0" w:color="000000"/>
          <w:left w:val="none" w:sz="4" w:space="0" w:color="000000"/>
          <w:bottom w:val="none" w:sz="4" w:space="0" w:color="000000"/>
          <w:right w:val="none" w:sz="4" w:space="0" w:color="000000"/>
        </w:tcBorders>
        <w:shd w:val="clear" w:color="auto" w:fill="B65608" w:themeFill="accent6" w:themeFillShade="99"/>
      </w:tcPr>
    </w:tblStylePr>
    <w:tblStylePr w:type="lastCol">
      <w:rPr>
        <w:color w:val="FFFFFF" w:themeColor="background1"/>
      </w:rPr>
      <w:tblPr/>
      <w:tcPr>
        <w:tcBorders>
          <w:top w:val="none" w:sz="4" w:space="0" w:color="000000"/>
          <w:left w:val="none" w:sz="4" w:space="0" w:color="000000"/>
          <w:bottom w:val="none" w:sz="4" w:space="0" w:color="000000"/>
          <w:right w:val="none" w:sz="4" w:space="0" w:color="000000"/>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ntractSmall">
    <w:name w:val="Contract Small"/>
    <w:pPr>
      <w:spacing w:after="40" w:line="240" w:lineRule="auto"/>
    </w:pPr>
    <w:rPr>
      <w:rFonts w:ascii="Arial" w:eastAsia="Arial" w:hAnsi="Arial"/>
      <w:sz w:val="19"/>
    </w:rPr>
  </w:style>
  <w:style w:type="paragraph" w:customStyle="1" w:styleId="TOMBullet">
    <w:name w:val="TOM Bullet"/>
    <w:basedOn w:val="Standard"/>
    <w:pPr>
      <w:spacing w:after="40" w:line="240" w:lineRule="auto"/>
      <w:ind w:left="312" w:hanging="142"/>
    </w:pPr>
    <w:rPr>
      <w:sz w:val="21"/>
    </w:rPr>
  </w:style>
  <w:style w:type="paragraph" w:customStyle="1" w:styleId="ProfileLabel">
    <w:name w:val="Profile Label"/>
    <w:basedOn w:val="Standard"/>
    <w:pPr>
      <w:spacing w:after="40"/>
    </w:pPr>
    <w:rPr>
      <w:sz w:val="21"/>
    </w:rPr>
  </w:style>
  <w:style w:type="paragraph" w:styleId="StandardWeb">
    <w:name w:val="Normal (Web)"/>
    <w:basedOn w:val="Standard"/>
    <w:uiPriority w:val="99"/>
    <w:unhideWhenUsed/>
    <w:pPr>
      <w:spacing w:before="100" w:beforeAutospacing="1" w:afterAutospacing="1" w:line="240" w:lineRule="auto"/>
    </w:pPr>
    <w:rPr>
      <w:rFonts w:ascii="Times New Roman" w:eastAsia="Times New Roman" w:hAnsi="Times New Roman" w:cs="Times New Roman"/>
      <w:sz w:val="24"/>
      <w:szCs w:val="24"/>
      <w:lang w:val="de-DE" w:eastAsia="de-DE"/>
    </w:rPr>
  </w:style>
  <w:style w:type="paragraph" w:customStyle="1" w:styleId="isselectedend">
    <w:name w:val="isselectedend"/>
    <w:basedOn w:val="Standard"/>
    <w:pPr>
      <w:spacing w:before="100" w:beforeAutospacing="1" w:afterAutospacing="1" w:line="240" w:lineRule="auto"/>
    </w:pPr>
    <w:rPr>
      <w:rFonts w:ascii="Times New Roman" w:eastAsia="Times New Roman" w:hAnsi="Times New Roman" w:cs="Times New Roman"/>
      <w:sz w:val="24"/>
      <w:szCs w:val="24"/>
      <w:lang w:val="de-DE"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eastAsia="Arial" w:hAnsi="Arial"/>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eastAsia="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B554C587844ED0A191356AA0A912DD"/>
        <w:category>
          <w:name w:val="Allgemein"/>
          <w:gallery w:val="placeholder"/>
        </w:category>
        <w:types>
          <w:type w:val="bbPlcHdr"/>
        </w:types>
        <w:behaviors>
          <w:behavior w:val="content"/>
        </w:behaviors>
        <w:guid w:val="{06884C1F-E813-4276-82A7-080099F1E207}"/>
      </w:docPartPr>
      <w:docPartBody>
        <w:p w:rsidR="001628F6" w:rsidRDefault="001628F6" w:rsidP="001628F6">
          <w:pPr>
            <w:pStyle w:val="4DB554C587844ED0A191356AA0A912DD3"/>
          </w:pPr>
          <w:r w:rsidRPr="005A03E1">
            <w:rPr>
              <w:lang w:val="de-DE"/>
            </w:rPr>
            <w:t>Firma / Einrichtung</w:t>
          </w:r>
        </w:p>
      </w:docPartBody>
    </w:docPart>
    <w:docPart>
      <w:docPartPr>
        <w:name w:val="74EDD31FEF8A4157BA1299F4EA2FA311"/>
        <w:category>
          <w:name w:val="Allgemein"/>
          <w:gallery w:val="placeholder"/>
        </w:category>
        <w:types>
          <w:type w:val="bbPlcHdr"/>
        </w:types>
        <w:behaviors>
          <w:behavior w:val="content"/>
        </w:behaviors>
        <w:guid w:val="{B1EF9194-5149-4988-9810-DCFD8F2833ED}"/>
      </w:docPartPr>
      <w:docPartBody>
        <w:p w:rsidR="001628F6" w:rsidRDefault="001628F6" w:rsidP="001628F6">
          <w:pPr>
            <w:pStyle w:val="74EDD31FEF8A4157BA1299F4EA2FA3111"/>
          </w:pPr>
          <w:r w:rsidRPr="005A03E1">
            <w:rPr>
              <w:lang w:val="de-DE"/>
            </w:rPr>
            <w:t>vertretungsberechtigte Person</w:t>
          </w:r>
        </w:p>
      </w:docPartBody>
    </w:docPart>
    <w:docPart>
      <w:docPartPr>
        <w:name w:val="3CD8C2F86ED4469880029B2A664AD44E"/>
        <w:category>
          <w:name w:val="Allgemein"/>
          <w:gallery w:val="placeholder"/>
        </w:category>
        <w:types>
          <w:type w:val="bbPlcHdr"/>
        </w:types>
        <w:behaviors>
          <w:behavior w:val="content"/>
        </w:behaviors>
        <w:guid w:val="{C5910641-4E7D-4BAB-8DF4-2033FCBCDDE9}"/>
      </w:docPartPr>
      <w:docPartBody>
        <w:p w:rsidR="001628F6" w:rsidRDefault="001628F6" w:rsidP="001628F6">
          <w:pPr>
            <w:pStyle w:val="3CD8C2F86ED4469880029B2A664AD44E1"/>
          </w:pPr>
          <w:r>
            <w:rPr>
              <w:rStyle w:val="Platzhaltertext"/>
            </w:rPr>
            <w:t>Name</w:t>
          </w:r>
        </w:p>
      </w:docPartBody>
    </w:docPart>
    <w:docPart>
      <w:docPartPr>
        <w:name w:val="BE976ADA12604540BC65DE396AA20F58"/>
        <w:category>
          <w:name w:val="Allgemein"/>
          <w:gallery w:val="placeholder"/>
        </w:category>
        <w:types>
          <w:type w:val="bbPlcHdr"/>
        </w:types>
        <w:behaviors>
          <w:behavior w:val="content"/>
        </w:behaviors>
        <w:guid w:val="{C71D4553-072F-4CEF-9DA1-50B191D98B0E}"/>
      </w:docPartPr>
      <w:docPartBody>
        <w:p w:rsidR="001628F6" w:rsidRDefault="001628F6" w:rsidP="001628F6">
          <w:pPr>
            <w:pStyle w:val="BE976ADA12604540BC65DE396AA20F581"/>
          </w:pPr>
          <w:r w:rsidRPr="005A03E1">
            <w:rPr>
              <w:lang w:val="de-DE"/>
            </w:rPr>
            <w:t>Anschrift; Kontaktstelle</w:t>
          </w:r>
        </w:p>
      </w:docPartBody>
    </w:docPart>
    <w:docPart>
      <w:docPartPr>
        <w:name w:val="FB6142DC72904AB69C5FBC6345A0D622"/>
        <w:category>
          <w:name w:val="Allgemein"/>
          <w:gallery w:val="placeholder"/>
        </w:category>
        <w:types>
          <w:type w:val="bbPlcHdr"/>
        </w:types>
        <w:behaviors>
          <w:behavior w:val="content"/>
        </w:behaviors>
        <w:guid w:val="{6EA18D69-073F-40E5-8AB8-83DCD2A08965}"/>
      </w:docPartPr>
      <w:docPartBody>
        <w:p w:rsidR="001628F6" w:rsidRDefault="001628F6" w:rsidP="001628F6">
          <w:pPr>
            <w:pStyle w:val="FB6142DC72904AB69C5FBC6345A0D6221"/>
          </w:pPr>
          <w:r w:rsidRPr="005A03E1">
            <w:rPr>
              <w:lang w:val="de-DE"/>
            </w:rPr>
            <w:t>Leistung; Gegenstand; Daten; betroffene Personengruppen; ggf. Dauer</w:t>
          </w:r>
        </w:p>
      </w:docPartBody>
    </w:docPart>
    <w:docPart>
      <w:docPartPr>
        <w:name w:val="CC5036C7E0A14787A863E3995F69DFA8"/>
        <w:category>
          <w:name w:val="Allgemein"/>
          <w:gallery w:val="placeholder"/>
        </w:category>
        <w:types>
          <w:type w:val="bbPlcHdr"/>
        </w:types>
        <w:behaviors>
          <w:behavior w:val="content"/>
        </w:behaviors>
        <w:guid w:val="{D9EC8F97-2BBD-47F9-AA08-2CED6B493B32}"/>
      </w:docPartPr>
      <w:docPartBody>
        <w:p w:rsidR="001628F6" w:rsidRDefault="001628F6" w:rsidP="001628F6">
          <w:pPr>
            <w:pStyle w:val="CC5036C7E0A14787A863E3995F69DFA81"/>
          </w:pPr>
          <w:r w:rsidRPr="005A03E1">
            <w:rPr>
              <w:lang w:val="de-DE"/>
            </w:rPr>
            <w:t>Genehmigung bei Vertragsschluss; Serverstandorte; Drittlandbezug; Garantien; weitere Unterauftragnehmer</w:t>
          </w:r>
        </w:p>
      </w:docPartBody>
    </w:docPart>
    <w:docPart>
      <w:docPartPr>
        <w:name w:val="B1E0669078804DED9365E30CC75C93C3"/>
        <w:category>
          <w:name w:val="Allgemein"/>
          <w:gallery w:val="placeholder"/>
        </w:category>
        <w:types>
          <w:type w:val="bbPlcHdr"/>
        </w:types>
        <w:behaviors>
          <w:behavior w:val="content"/>
        </w:behaviors>
        <w:guid w:val="{078B067C-BD32-443F-A253-8F913A97650C}"/>
      </w:docPartPr>
      <w:docPartBody>
        <w:p w:rsidR="00B02C42" w:rsidRDefault="001628F6" w:rsidP="001628F6">
          <w:pPr>
            <w:pStyle w:val="B1E0669078804DED9365E30CC75C93C3"/>
          </w:pPr>
          <w:r w:rsidRPr="005A03E1">
            <w:rPr>
              <w:lang w:val="de-DE"/>
            </w:rPr>
            <w:t>Adresse</w:t>
          </w:r>
        </w:p>
      </w:docPartBody>
    </w:docPart>
    <w:docPart>
      <w:docPartPr>
        <w:name w:val="A84B6F9945D64F7AAC7969C928A0ADA7"/>
        <w:category>
          <w:name w:val="Allgemein"/>
          <w:gallery w:val="placeholder"/>
        </w:category>
        <w:types>
          <w:type w:val="bbPlcHdr"/>
        </w:types>
        <w:behaviors>
          <w:behavior w:val="content"/>
        </w:behaviors>
        <w:guid w:val="{C1CA0874-EE92-45F0-A848-E2AD025D32BF}"/>
      </w:docPartPr>
      <w:docPartBody>
        <w:p w:rsidR="00B02C42" w:rsidRDefault="001628F6" w:rsidP="001628F6">
          <w:pPr>
            <w:pStyle w:val="A84B6F9945D64F7AAC7969C928A0ADA7"/>
          </w:pPr>
          <w:r>
            <w:rPr>
              <w:lang w:val="de-DE"/>
            </w:rPr>
            <w:t>Funktion</w:t>
          </w:r>
        </w:p>
      </w:docPartBody>
    </w:docPart>
    <w:docPart>
      <w:docPartPr>
        <w:name w:val="03A256C2C28043D4AE166F345918C17E"/>
        <w:category>
          <w:name w:val="Allgemein"/>
          <w:gallery w:val="placeholder"/>
        </w:category>
        <w:types>
          <w:type w:val="bbPlcHdr"/>
        </w:types>
        <w:behaviors>
          <w:behavior w:val="content"/>
        </w:behaviors>
        <w:guid w:val="{E5F348E6-441C-43F9-8993-37AF25929782}"/>
      </w:docPartPr>
      <w:docPartBody>
        <w:p w:rsidR="00B02C42" w:rsidRDefault="001628F6" w:rsidP="001628F6">
          <w:pPr>
            <w:pStyle w:val="03A256C2C28043D4AE166F345918C17E"/>
          </w:pPr>
          <w:r>
            <w:rPr>
              <w:lang w:val="de-DE"/>
            </w:rPr>
            <w:t>Name</w:t>
          </w:r>
        </w:p>
      </w:docPartBody>
    </w:docPart>
    <w:docPart>
      <w:docPartPr>
        <w:name w:val="650AE918A9DA4F21A00C9F48EABCE935"/>
        <w:category>
          <w:name w:val="Allgemein"/>
          <w:gallery w:val="placeholder"/>
        </w:category>
        <w:types>
          <w:type w:val="bbPlcHdr"/>
        </w:types>
        <w:behaviors>
          <w:behavior w:val="content"/>
        </w:behaviors>
        <w:guid w:val="{D73EFE08-0E07-4FFF-96A8-62EBD1DFD07E}"/>
      </w:docPartPr>
      <w:docPartBody>
        <w:p w:rsidR="00B02C42" w:rsidRDefault="001628F6" w:rsidP="001628F6">
          <w:pPr>
            <w:pStyle w:val="650AE918A9DA4F21A00C9F48EABCE935"/>
          </w:pPr>
          <w:r>
            <w:rPr>
              <w:lang w:val="de-DE"/>
            </w:rPr>
            <w:t>E-Mail</w:t>
          </w:r>
        </w:p>
      </w:docPartBody>
    </w:docPart>
    <w:docPart>
      <w:docPartPr>
        <w:name w:val="73AF6AB487AB4D00BBA6F4A45F2A938D"/>
        <w:category>
          <w:name w:val="Allgemein"/>
          <w:gallery w:val="placeholder"/>
        </w:category>
        <w:types>
          <w:type w:val="bbPlcHdr"/>
        </w:types>
        <w:behaviors>
          <w:behavior w:val="content"/>
        </w:behaviors>
        <w:guid w:val="{ACCF20BC-3E98-4A1A-8243-F50E72D72E48}"/>
      </w:docPartPr>
      <w:docPartBody>
        <w:p w:rsidR="00B02C42" w:rsidRDefault="001628F6" w:rsidP="001628F6">
          <w:pPr>
            <w:pStyle w:val="73AF6AB487AB4D00BBA6F4A45F2A938D"/>
          </w:pPr>
          <w:r>
            <w:rPr>
              <w:lang w:val="de-DE"/>
            </w:rPr>
            <w:t>Telefon</w:t>
          </w:r>
        </w:p>
      </w:docPartBody>
    </w:docPart>
    <w:docPart>
      <w:docPartPr>
        <w:name w:val="39263052E65C4547AD26C1687AE1105F"/>
        <w:category>
          <w:name w:val="Allgemein"/>
          <w:gallery w:val="placeholder"/>
        </w:category>
        <w:types>
          <w:type w:val="bbPlcHdr"/>
        </w:types>
        <w:behaviors>
          <w:behavior w:val="content"/>
        </w:behaviors>
        <w:guid w:val="{BB529BE3-706D-444E-BCAF-31689008D5E8}"/>
      </w:docPartPr>
      <w:docPartBody>
        <w:p w:rsidR="00B02C42" w:rsidRDefault="001628F6" w:rsidP="001628F6">
          <w:pPr>
            <w:pStyle w:val="39263052E65C4547AD26C1687AE1105F"/>
          </w:pPr>
          <w:r w:rsidRPr="005A03E1">
            <w:rPr>
              <w:lang w:val="de-DE"/>
            </w:rPr>
            <w:t>Vertretung; zulässiger Kanal; Eskalation</w:t>
          </w:r>
        </w:p>
      </w:docPartBody>
    </w:docPart>
    <w:docPart>
      <w:docPartPr>
        <w:name w:val="3F2D0A20D90B47A29D80580BB6908259"/>
        <w:category>
          <w:name w:val="Allgemein"/>
          <w:gallery w:val="placeholder"/>
        </w:category>
        <w:types>
          <w:type w:val="bbPlcHdr"/>
        </w:types>
        <w:behaviors>
          <w:behavior w:val="content"/>
        </w:behaviors>
        <w:guid w:val="{536530C8-DAB4-467A-B8C4-2C5CE05FC8A0}"/>
      </w:docPartPr>
      <w:docPartBody>
        <w:p w:rsidR="00B02C42" w:rsidRDefault="001628F6" w:rsidP="001628F6">
          <w:pPr>
            <w:pStyle w:val="3F2D0A20D90B47A29D80580BB6908259"/>
          </w:pPr>
          <w:r>
            <w:rPr>
              <w:rStyle w:val="Platzhaltertext"/>
            </w:rPr>
            <w:t>Name</w:t>
          </w:r>
        </w:p>
      </w:docPartBody>
    </w:docPart>
    <w:docPart>
      <w:docPartPr>
        <w:name w:val="7408C939C8524B8FB4E6E730FCF45D52"/>
        <w:category>
          <w:name w:val="Allgemein"/>
          <w:gallery w:val="placeholder"/>
        </w:category>
        <w:types>
          <w:type w:val="bbPlcHdr"/>
        </w:types>
        <w:behaviors>
          <w:behavior w:val="content"/>
        </w:behaviors>
        <w:guid w:val="{14B83B6F-0D61-4D11-A280-E58E80C1ECF5}"/>
      </w:docPartPr>
      <w:docPartBody>
        <w:p w:rsidR="00B02C42" w:rsidRDefault="001628F6" w:rsidP="001628F6">
          <w:pPr>
            <w:pStyle w:val="7408C939C8524B8FB4E6E730FCF45D52"/>
          </w:pPr>
          <w:r w:rsidRPr="005A03E1">
            <w:rPr>
              <w:lang w:val="de-DE"/>
            </w:rPr>
            <w:t>Anschrift; Kontaktstelle</w:t>
          </w:r>
        </w:p>
      </w:docPartBody>
    </w:docPart>
    <w:docPart>
      <w:docPartPr>
        <w:name w:val="62DAB1E9D670469DA6B32423F87AF625"/>
        <w:category>
          <w:name w:val="Allgemein"/>
          <w:gallery w:val="placeholder"/>
        </w:category>
        <w:types>
          <w:type w:val="bbPlcHdr"/>
        </w:types>
        <w:behaviors>
          <w:behavior w:val="content"/>
        </w:behaviors>
        <w:guid w:val="{0CAF3F3C-FC4C-4CB6-AD77-295EAC6BA9EB}"/>
      </w:docPartPr>
      <w:docPartBody>
        <w:p w:rsidR="00B02C42" w:rsidRDefault="001628F6" w:rsidP="001628F6">
          <w:pPr>
            <w:pStyle w:val="62DAB1E9D670469DA6B32423F87AF625"/>
          </w:pPr>
          <w:r w:rsidRPr="005A03E1">
            <w:rPr>
              <w:lang w:val="de-DE"/>
            </w:rPr>
            <w:t>Leistung; Gegenstand; Daten; betroffene Personengruppen; ggf. Dauer</w:t>
          </w:r>
        </w:p>
      </w:docPartBody>
    </w:docPart>
    <w:docPart>
      <w:docPartPr>
        <w:name w:val="FA6ED4C344634B42B52E8E1A38D9A311"/>
        <w:category>
          <w:name w:val="Allgemein"/>
          <w:gallery w:val="placeholder"/>
        </w:category>
        <w:types>
          <w:type w:val="bbPlcHdr"/>
        </w:types>
        <w:behaviors>
          <w:behavior w:val="content"/>
        </w:behaviors>
        <w:guid w:val="{DEC0FB77-23AE-467B-AD4F-E161E7E39ED9}"/>
      </w:docPartPr>
      <w:docPartBody>
        <w:p w:rsidR="00B02C42" w:rsidRDefault="001628F6" w:rsidP="001628F6">
          <w:pPr>
            <w:pStyle w:val="FA6ED4C344634B42B52E8E1A38D9A311"/>
          </w:pPr>
          <w:r w:rsidRPr="005A03E1">
            <w:rPr>
              <w:lang w:val="de-DE"/>
            </w:rPr>
            <w:t>Genehmigung bei Vertragsschluss; Serverstandorte; Drittlandbezug; Garantien; weitere Unterauftragnehmer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D7D"/>
    <w:rsid w:val="000F1EAB"/>
    <w:rsid w:val="001628F6"/>
    <w:rsid w:val="00172D7D"/>
    <w:rsid w:val="00341BA8"/>
    <w:rsid w:val="005A2FA3"/>
    <w:rsid w:val="00B02C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628F6"/>
    <w:rPr>
      <w:color w:val="666666"/>
    </w:rPr>
  </w:style>
  <w:style w:type="paragraph" w:customStyle="1" w:styleId="4DB554C587844ED0A191356AA0A912DD3">
    <w:name w:val="4DB554C587844ED0A191356AA0A912DD3"/>
    <w:rsid w:val="001628F6"/>
    <w:pPr>
      <w:spacing w:after="40" w:line="240" w:lineRule="auto"/>
    </w:pPr>
    <w:rPr>
      <w:rFonts w:ascii="Arial" w:eastAsia="Arial" w:hAnsi="Arial"/>
      <w:kern w:val="0"/>
      <w:sz w:val="19"/>
      <w:szCs w:val="22"/>
      <w:lang w:val="en-US" w:eastAsia="en-US"/>
      <w14:ligatures w14:val="none"/>
    </w:rPr>
  </w:style>
  <w:style w:type="paragraph" w:customStyle="1" w:styleId="74EDD31FEF8A4157BA1299F4EA2FA3111">
    <w:name w:val="74EDD31FEF8A4157BA1299F4EA2FA3111"/>
    <w:rsid w:val="001628F6"/>
    <w:pPr>
      <w:spacing w:after="40" w:line="240" w:lineRule="auto"/>
    </w:pPr>
    <w:rPr>
      <w:rFonts w:ascii="Arial" w:eastAsia="Arial" w:hAnsi="Arial"/>
      <w:kern w:val="0"/>
      <w:sz w:val="19"/>
      <w:szCs w:val="22"/>
      <w:lang w:val="en-US" w:eastAsia="en-US"/>
      <w14:ligatures w14:val="none"/>
    </w:rPr>
  </w:style>
  <w:style w:type="paragraph" w:customStyle="1" w:styleId="B1E0669078804DED9365E30CC75C93C3">
    <w:name w:val="B1E0669078804DED9365E30CC75C93C3"/>
    <w:rsid w:val="001628F6"/>
    <w:pPr>
      <w:spacing w:after="40" w:line="240" w:lineRule="auto"/>
    </w:pPr>
    <w:rPr>
      <w:rFonts w:ascii="Arial" w:eastAsia="Arial" w:hAnsi="Arial"/>
      <w:kern w:val="0"/>
      <w:sz w:val="19"/>
      <w:szCs w:val="22"/>
      <w:lang w:val="en-US" w:eastAsia="en-US"/>
      <w14:ligatures w14:val="none"/>
    </w:rPr>
  </w:style>
  <w:style w:type="paragraph" w:customStyle="1" w:styleId="A84B6F9945D64F7AAC7969C928A0ADA7">
    <w:name w:val="A84B6F9945D64F7AAC7969C928A0ADA7"/>
    <w:rsid w:val="001628F6"/>
    <w:pPr>
      <w:spacing w:after="100" w:line="259" w:lineRule="auto"/>
    </w:pPr>
    <w:rPr>
      <w:rFonts w:ascii="Arial" w:eastAsia="Arial" w:hAnsi="Arial"/>
      <w:kern w:val="0"/>
      <w:sz w:val="22"/>
      <w:szCs w:val="22"/>
      <w:lang w:val="en-US" w:eastAsia="en-US"/>
      <w14:ligatures w14:val="none"/>
    </w:rPr>
  </w:style>
  <w:style w:type="paragraph" w:customStyle="1" w:styleId="03A256C2C28043D4AE166F345918C17E">
    <w:name w:val="03A256C2C28043D4AE166F345918C17E"/>
    <w:rsid w:val="001628F6"/>
    <w:pPr>
      <w:spacing w:after="100" w:line="259" w:lineRule="auto"/>
    </w:pPr>
    <w:rPr>
      <w:rFonts w:ascii="Arial" w:eastAsia="Arial" w:hAnsi="Arial"/>
      <w:kern w:val="0"/>
      <w:sz w:val="22"/>
      <w:szCs w:val="22"/>
      <w:lang w:val="en-US" w:eastAsia="en-US"/>
      <w14:ligatures w14:val="none"/>
    </w:rPr>
  </w:style>
  <w:style w:type="paragraph" w:customStyle="1" w:styleId="650AE918A9DA4F21A00C9F48EABCE935">
    <w:name w:val="650AE918A9DA4F21A00C9F48EABCE935"/>
    <w:rsid w:val="001628F6"/>
    <w:pPr>
      <w:spacing w:after="100" w:line="259" w:lineRule="auto"/>
    </w:pPr>
    <w:rPr>
      <w:rFonts w:ascii="Arial" w:eastAsia="Arial" w:hAnsi="Arial"/>
      <w:kern w:val="0"/>
      <w:sz w:val="22"/>
      <w:szCs w:val="22"/>
      <w:lang w:val="en-US" w:eastAsia="en-US"/>
      <w14:ligatures w14:val="none"/>
    </w:rPr>
  </w:style>
  <w:style w:type="paragraph" w:customStyle="1" w:styleId="73AF6AB487AB4D00BBA6F4A45F2A938D">
    <w:name w:val="73AF6AB487AB4D00BBA6F4A45F2A938D"/>
    <w:rsid w:val="001628F6"/>
    <w:pPr>
      <w:spacing w:after="100" w:line="259" w:lineRule="auto"/>
    </w:pPr>
    <w:rPr>
      <w:rFonts w:ascii="Arial" w:eastAsia="Arial" w:hAnsi="Arial"/>
      <w:kern w:val="0"/>
      <w:sz w:val="22"/>
      <w:szCs w:val="22"/>
      <w:lang w:val="en-US" w:eastAsia="en-US"/>
      <w14:ligatures w14:val="none"/>
    </w:rPr>
  </w:style>
  <w:style w:type="paragraph" w:customStyle="1" w:styleId="39263052E65C4547AD26C1687AE1105F">
    <w:name w:val="39263052E65C4547AD26C1687AE1105F"/>
    <w:rsid w:val="001628F6"/>
    <w:pPr>
      <w:spacing w:after="100" w:line="259" w:lineRule="auto"/>
    </w:pPr>
    <w:rPr>
      <w:rFonts w:ascii="Arial" w:eastAsia="Arial" w:hAnsi="Arial"/>
      <w:kern w:val="0"/>
      <w:sz w:val="22"/>
      <w:szCs w:val="22"/>
      <w:lang w:val="en-US" w:eastAsia="en-US"/>
      <w14:ligatures w14:val="none"/>
    </w:rPr>
  </w:style>
  <w:style w:type="paragraph" w:customStyle="1" w:styleId="3F2D0A20D90B47A29D80580BB6908259">
    <w:name w:val="3F2D0A20D90B47A29D80580BB6908259"/>
    <w:rsid w:val="001628F6"/>
    <w:pPr>
      <w:spacing w:after="100" w:line="259" w:lineRule="auto"/>
    </w:pPr>
    <w:rPr>
      <w:rFonts w:ascii="Arial" w:eastAsia="Arial" w:hAnsi="Arial"/>
      <w:kern w:val="0"/>
      <w:sz w:val="22"/>
      <w:szCs w:val="22"/>
      <w:lang w:val="en-US" w:eastAsia="en-US"/>
      <w14:ligatures w14:val="none"/>
    </w:rPr>
  </w:style>
  <w:style w:type="paragraph" w:customStyle="1" w:styleId="7408C939C8524B8FB4E6E730FCF45D52">
    <w:name w:val="7408C939C8524B8FB4E6E730FCF45D52"/>
    <w:rsid w:val="001628F6"/>
    <w:pPr>
      <w:spacing w:after="100" w:line="259" w:lineRule="auto"/>
    </w:pPr>
    <w:rPr>
      <w:rFonts w:ascii="Arial" w:eastAsia="Arial" w:hAnsi="Arial"/>
      <w:kern w:val="0"/>
      <w:sz w:val="22"/>
      <w:szCs w:val="22"/>
      <w:lang w:val="en-US" w:eastAsia="en-US"/>
      <w14:ligatures w14:val="none"/>
    </w:rPr>
  </w:style>
  <w:style w:type="paragraph" w:customStyle="1" w:styleId="62DAB1E9D670469DA6B32423F87AF625">
    <w:name w:val="62DAB1E9D670469DA6B32423F87AF625"/>
    <w:rsid w:val="001628F6"/>
    <w:pPr>
      <w:spacing w:after="100" w:line="259" w:lineRule="auto"/>
    </w:pPr>
    <w:rPr>
      <w:rFonts w:ascii="Arial" w:eastAsia="Arial" w:hAnsi="Arial"/>
      <w:kern w:val="0"/>
      <w:sz w:val="22"/>
      <w:szCs w:val="22"/>
      <w:lang w:val="en-US" w:eastAsia="en-US"/>
      <w14:ligatures w14:val="none"/>
    </w:rPr>
  </w:style>
  <w:style w:type="paragraph" w:customStyle="1" w:styleId="FA6ED4C344634B42B52E8E1A38D9A311">
    <w:name w:val="FA6ED4C344634B42B52E8E1A38D9A311"/>
    <w:rsid w:val="001628F6"/>
    <w:pPr>
      <w:spacing w:after="100" w:line="259" w:lineRule="auto"/>
    </w:pPr>
    <w:rPr>
      <w:rFonts w:ascii="Arial" w:eastAsia="Arial" w:hAnsi="Arial"/>
      <w:kern w:val="0"/>
      <w:sz w:val="22"/>
      <w:szCs w:val="22"/>
      <w:lang w:val="en-US" w:eastAsia="en-US"/>
      <w14:ligatures w14:val="none"/>
    </w:rPr>
  </w:style>
  <w:style w:type="paragraph" w:customStyle="1" w:styleId="3CD8C2F86ED4469880029B2A664AD44E1">
    <w:name w:val="3CD8C2F86ED4469880029B2A664AD44E1"/>
    <w:rsid w:val="001628F6"/>
    <w:pPr>
      <w:spacing w:after="100" w:line="259" w:lineRule="auto"/>
    </w:pPr>
    <w:rPr>
      <w:rFonts w:ascii="Arial" w:eastAsia="Arial" w:hAnsi="Arial"/>
      <w:kern w:val="0"/>
      <w:sz w:val="22"/>
      <w:szCs w:val="22"/>
      <w:lang w:val="en-US" w:eastAsia="en-US"/>
      <w14:ligatures w14:val="none"/>
    </w:rPr>
  </w:style>
  <w:style w:type="paragraph" w:customStyle="1" w:styleId="BE976ADA12604540BC65DE396AA20F581">
    <w:name w:val="BE976ADA12604540BC65DE396AA20F581"/>
    <w:rsid w:val="001628F6"/>
    <w:pPr>
      <w:spacing w:after="100" w:line="259" w:lineRule="auto"/>
    </w:pPr>
    <w:rPr>
      <w:rFonts w:ascii="Arial" w:eastAsia="Arial" w:hAnsi="Arial"/>
      <w:kern w:val="0"/>
      <w:sz w:val="22"/>
      <w:szCs w:val="22"/>
      <w:lang w:val="en-US" w:eastAsia="en-US"/>
      <w14:ligatures w14:val="none"/>
    </w:rPr>
  </w:style>
  <w:style w:type="paragraph" w:customStyle="1" w:styleId="FB6142DC72904AB69C5FBC6345A0D6221">
    <w:name w:val="FB6142DC72904AB69C5FBC6345A0D6221"/>
    <w:rsid w:val="001628F6"/>
    <w:pPr>
      <w:spacing w:after="100" w:line="259" w:lineRule="auto"/>
    </w:pPr>
    <w:rPr>
      <w:rFonts w:ascii="Arial" w:eastAsia="Arial" w:hAnsi="Arial"/>
      <w:kern w:val="0"/>
      <w:sz w:val="22"/>
      <w:szCs w:val="22"/>
      <w:lang w:val="en-US" w:eastAsia="en-US"/>
      <w14:ligatures w14:val="none"/>
    </w:rPr>
  </w:style>
  <w:style w:type="paragraph" w:customStyle="1" w:styleId="CC5036C7E0A14787A863E3995F69DFA81">
    <w:name w:val="CC5036C7E0A14787A863E3995F69DFA81"/>
    <w:rsid w:val="001628F6"/>
    <w:pPr>
      <w:spacing w:after="100" w:line="259" w:lineRule="auto"/>
    </w:pPr>
    <w:rPr>
      <w:rFonts w:ascii="Arial" w:eastAsia="Arial" w:hAnsi="Arial"/>
      <w:kern w:val="0"/>
      <w:sz w:val="22"/>
      <w:szCs w:val="22"/>
      <w:lang w:val="en-US"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826C3-269A-44EA-8F59-6C2BB83D2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8004</Words>
  <Characters>50432</Characters>
  <Application>Microsoft Office Word</Application>
  <DocSecurity>0</DocSecurity>
  <Lines>420</Lines>
  <Paragraphs>116</Paragraphs>
  <ScaleCrop>false</ScaleCrop>
  <Manager/>
  <Company/>
  <LinksUpToDate>false</LinksUpToDate>
  <CharactersWithSpaces>58320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Kara Kreßner</cp:lastModifiedBy>
  <cp:revision>3</cp:revision>
  <dcterms:created xsi:type="dcterms:W3CDTF">2026-08-18T15:09:00Z</dcterms:created>
  <dcterms:modified xsi:type="dcterms:W3CDTF">2026-08-20T12:26:00Z</dcterms:modified>
  <cp:category/>
  <cp:version>7.16</cp:version>
</cp:coreProperties>
</file>